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8ecd98a0fb4f34" /></Relationships>
</file>

<file path=word/document.xml><?xml version="1.0" encoding="utf-8"?>
<w:document xmlns:w="http://schemas.openxmlformats.org/wordprocessingml/2006/main">
  <w:body>
    <w:p>
      <w:r>
        <w:t>H-0290.1</w:t>
      </w:r>
    </w:p>
    <w:p>
      <w:pPr>
        <w:jc w:val="center"/>
      </w:pPr>
      <w:r>
        <w:t>_______________________________________________</w:t>
      </w:r>
    </w:p>
    <w:p/>
    <w:p>
      <w:pPr>
        <w:jc w:val="center"/>
      </w:pPr>
      <w:r>
        <w:rPr>
          <w:b/>
        </w:rPr>
        <w:t>HOUSE BILL 1097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Ryu</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governmental services beyond the urban growth area in specific circumstances; amending RCW 36.70A.110;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providing clarifying language as to what authority governmental service providers have related to extending sewer services to properties beyond urban growth areas in limited circumstances. There are public benefits to having certain properties be able to use services that are available in a community and local authorities are the best able to determine what makes sense for their communities. Extensions of such services in compliance with the provisions of this act should be liberally construed as being in full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2024 c 26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w:t>
      </w:r>
      <w:r>
        <w:t>((</w:t>
      </w:r>
      <w:r>
        <w:rPr>
          <w:strike/>
        </w:rPr>
        <w:t xml:space="preserve">in</w:t>
      </w:r>
      <w:r>
        <w:t>))</w:t>
      </w:r>
      <w:r>
        <w:rPr>
          <w:u w:val="single"/>
        </w:rPr>
        <w:t xml:space="preserve">:</w:t>
      </w:r>
    </w:p>
    <w:p>
      <w:pPr>
        <w:spacing w:before="0" w:after="0" w:line="408" w:lineRule="exact"/>
        <w:ind w:left="0" w:right="0" w:firstLine="576"/>
        <w:jc w:val="left"/>
      </w:pPr>
      <w:r>
        <w:rPr>
          <w:u w:val="single"/>
        </w:rPr>
        <w:t xml:space="preserve">(a) In</w:t>
      </w:r>
      <w:r>
        <w:rPr/>
        <w:t xml:space="preserve"> those limited circumstances shown to be necessary to protect basic public health and safety and the environment and when such services are financially supportable at rural densities and do not permit urban development</w:t>
      </w:r>
      <w:r>
        <w:rPr>
          <w:u w:val="single"/>
        </w:rPr>
        <w:t xml:space="preserve">;</w:t>
      </w:r>
    </w:p>
    <w:p>
      <w:pPr>
        <w:spacing w:before="0" w:after="0" w:line="408" w:lineRule="exact"/>
        <w:ind w:left="0" w:right="0" w:firstLine="576"/>
        <w:jc w:val="left"/>
      </w:pPr>
      <w:r>
        <w:rPr>
          <w:u w:val="single"/>
        </w:rPr>
        <w:t xml:space="preserve">(b) To connect a landfill or solid waste disposal facility to the system of sewerage that connects to a wastewater treatment plant;</w:t>
      </w:r>
    </w:p>
    <w:p>
      <w:pPr>
        <w:spacing w:before="0" w:after="0" w:line="408" w:lineRule="exact"/>
        <w:ind w:left="0" w:right="0" w:firstLine="576"/>
        <w:jc w:val="left"/>
      </w:pPr>
      <w:r>
        <w:rPr>
          <w:u w:val="single"/>
        </w:rPr>
        <w:t xml:space="preserve">(c) To connect to the system of sewerage if an on-site sewage disposal system is at its end of life or is failing;</w:t>
      </w:r>
    </w:p>
    <w:p>
      <w:pPr>
        <w:spacing w:before="0" w:after="0" w:line="408" w:lineRule="exact"/>
        <w:ind w:left="0" w:right="0" w:firstLine="576"/>
        <w:jc w:val="left"/>
      </w:pPr>
      <w:r>
        <w:rPr>
          <w:u w:val="single"/>
        </w:rPr>
        <w:t xml:space="preserve">(d) To connect a property located outside of the urban growth area when an existing system of sewerage is within an estimated quarter mile of a property; or</w:t>
      </w:r>
    </w:p>
    <w:p>
      <w:pPr>
        <w:spacing w:before="0" w:after="0" w:line="408" w:lineRule="exact"/>
        <w:ind w:left="0" w:right="0" w:firstLine="576"/>
        <w:jc w:val="left"/>
      </w:pPr>
      <w:r>
        <w:rPr>
          <w:u w:val="single"/>
        </w:rPr>
        <w:t xml:space="preserve">(e) To connect a property outside of the urban growth area to an existing system of sewerage that is located in the street, road, highway, right-of-way, or sidewalk which is adjacent to the property</w:t>
      </w:r>
      <w:r>
        <w:rPr/>
        <w:t xml:space="preserve">.</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t xml:space="preserve">(e) The areas added to the urban growth areas are suitable for urban growth;</w:t>
      </w:r>
    </w:p>
    <w:p>
      <w:pPr>
        <w:spacing w:before="0" w:after="0" w:line="408" w:lineRule="exact"/>
        <w:ind w:left="0" w:right="0" w:firstLine="576"/>
        <w:jc w:val="left"/>
      </w:pPr>
      <w:r>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(g) The areas removed from the urban growth area are not characterized by urban growth or urban densities;</w:t>
      </w:r>
    </w:p>
    <w:p>
      <w:pPr>
        <w:spacing w:before="0" w:after="0" w:line="408" w:lineRule="exact"/>
        <w:ind w:left="0" w:right="0" w:firstLine="576"/>
        <w:jc w:val="left"/>
      </w:pPr>
      <w:r>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t xml:space="preserve">(j) The revised urban growth area meets all other requirements of this section.</w:t>
      </w:r>
    </w:p>
    <w:p>
      <w:pPr>
        <w:spacing w:before="0" w:after="0" w:line="408" w:lineRule="exact"/>
        <w:ind w:left="0" w:right="0" w:firstLine="576"/>
        <w:jc w:val="left"/>
      </w:pPr>
      <w:r>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t xml:space="preserve">(10)(a)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(10)(a)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(10), "one hundred year floodplain" means the same as "special flood hazard area" as set forth in WAC 173-158-040 as it exists on July 26, 2009.</w:t>
      </w:r>
    </w:p>
    <w:p>
      <w:pPr>
        <w:spacing w:before="0" w:after="0" w:line="408" w:lineRule="exact"/>
        <w:ind w:left="0" w:right="0" w:firstLine="576"/>
        <w:jc w:val="left"/>
      </w:pPr>
      <w:r>
        <w:rPr/>
        <w:t xml:space="preserve">(11)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
      <w:pPr>
        <w:jc w:val="center"/>
      </w:pPr>
      <w:r>
        <w:rPr>
          <w:b/>
        </w:rPr>
        <w:t>--- END ---</w:t>
      </w:r>
    </w:p>
    <w:sectPr>
      <w:pgNumType w:start="1"/>
      <w:footerReference xmlns:r="http://schemas.openxmlformats.org/officeDocument/2006/relationships" r:id="R24e25f4aafba4b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35c8c6dce84ce6" /><Relationship Type="http://schemas.openxmlformats.org/officeDocument/2006/relationships/footer" Target="/word/footer1.xml" Id="R24e25f4aafba4be1" /></Relationships>
</file>