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db47bdfc247ce" /></Relationships>
</file>

<file path=word/document.xml><?xml version="1.0" encoding="utf-8"?>
<w:document xmlns:w="http://schemas.openxmlformats.org/wordprocessingml/2006/main">
  <w:body>
    <w:p>
      <w:r>
        <w:t>S-0189.1</w:t>
      </w:r>
    </w:p>
    <w:p>
      <w:pPr>
        <w:jc w:val="center"/>
      </w:pPr>
      <w:r>
        <w:t>_______________________________________________</w:t>
      </w:r>
    </w:p>
    <w:p/>
    <w:p>
      <w:pPr>
        <w:jc w:val="center"/>
      </w:pPr>
      <w:r>
        <w:rPr>
          <w:b/>
        </w:rPr>
        <w:t>SENATE BILL 5011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J. Wilson</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labeling ballot drop boxes; and amending RCW 29A.40.170.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170</w:t>
      </w:r>
      <w:r>
        <w:rPr/>
        <w:t xml:space="preserve"> and 2019 c 6 s 5 are each amended to read as follows:</w:t>
      </w:r>
    </w:p>
    <w:p>
      <w:pPr>
        <w:spacing w:before="0" w:after="0" w:line="408" w:lineRule="exact"/>
        <w:ind w:left="0" w:right="0" w:firstLine="576"/>
        <w:jc w:val="left"/>
      </w:pPr>
      <w:r>
        <w:rPr/>
        <w:t xml:space="preserve">(1)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(2) The county auditor must establish a minimum of one ballot drop box per fifteen thousand registered voters in the county and a minimum of one ballot drop box in each city, town, and census-designated place in the county with a post office.</w:t>
      </w:r>
    </w:p>
    <w:p>
      <w:pPr>
        <w:spacing w:before="0" w:after="0" w:line="408" w:lineRule="exact"/>
        <w:ind w:left="0" w:right="0" w:firstLine="576"/>
        <w:jc w:val="left"/>
      </w:pPr>
      <w:r>
        <w:rPr/>
        <w:t xml:space="preserve">(3) At the request of a federally recognized Indian tribe with a reservation in the county, the county auditor must establish at least one ballot drop box on the Indian reservation on a site selected by the tribe that is accessible to the county auditor by a public road.</w:t>
      </w:r>
    </w:p>
    <w:p>
      <w:pPr>
        <w:spacing w:before="0" w:after="0" w:line="408" w:lineRule="exact"/>
        <w:ind w:left="0" w:right="0" w:firstLine="576"/>
        <w:jc w:val="left"/>
      </w:pPr>
      <w:r>
        <w:rPr/>
        <w:t xml:space="preserve">(4) A federally recognized Indian tribe may designate at least one building as a ballot pickup and collection location at no cost to the tribe. The designated building must be accessible to the county auditor by a public road. The county auditor of the county in which the building is located must collect ballots from that location in compliance with the procedures in subsection (1) of this section.</w:t>
      </w:r>
    </w:p>
    <w:p>
      <w:pPr>
        <w:spacing w:before="0" w:after="0" w:line="408" w:lineRule="exact"/>
        <w:ind w:left="0" w:right="0" w:firstLine="576"/>
        <w:jc w:val="left"/>
      </w:pPr>
      <w:r>
        <w:rPr>
          <w:u w:val="single"/>
        </w:rPr>
        <w:t xml:space="preserve">(5) Each ballot drop box must prominently display on each visible side of the drop box:</w:t>
      </w:r>
    </w:p>
    <w:p>
      <w:pPr>
        <w:spacing w:before="0" w:after="0" w:line="408" w:lineRule="exact"/>
        <w:ind w:left="0" w:right="0" w:firstLine="576"/>
        <w:jc w:val="left"/>
      </w:pPr>
      <w:r>
        <w:rPr>
          <w:u w:val="single"/>
        </w:rPr>
        <w:t xml:space="preserve">(a) "Property of" and the county or county agency name of the body which purchased and placed the drop box; and</w:t>
      </w:r>
    </w:p>
    <w:p>
      <w:pPr>
        <w:spacing w:before="0" w:after="0" w:line="408" w:lineRule="exact"/>
        <w:ind w:left="0" w:right="0" w:firstLine="576"/>
        <w:jc w:val="left"/>
      </w:pPr>
      <w:r>
        <w:rPr>
          <w:u w:val="single"/>
        </w:rPr>
        <w:t xml:space="preserve">(b) "Tampering with this drop box may be a violation of RCW 29A.84.620 and other state and federal elections laws."</w:t>
      </w:r>
    </w:p>
    <w:p/>
    <w:p>
      <w:pPr>
        <w:jc w:val="center"/>
      </w:pPr>
      <w:r>
        <w:rPr>
          <w:b/>
        </w:rPr>
        <w:t>--- END ---</w:t>
      </w:r>
    </w:p>
    <w:sectPr>
      <w:pgNumType w:start="1"/>
      <w:footerReference xmlns:r="http://schemas.openxmlformats.org/officeDocument/2006/relationships" r:id="R3bb4429650c141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e6ce4a49894f2c" /><Relationship Type="http://schemas.openxmlformats.org/officeDocument/2006/relationships/footer" Target="/word/footer1.xml" Id="R3bb4429650c141b3" /></Relationships>
</file>