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9bfcf515a4cdd" /></Relationships>
</file>

<file path=word/document.xml><?xml version="1.0" encoding="utf-8"?>
<w:document xmlns:w="http://schemas.openxmlformats.org/wordprocessingml/2006/main">
  <w:body>
    <w:p>
      <w:r>
        <w:t>S-0084.1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5013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J. Wilson and Valdez</w:t>
      </w:r>
    </w:p>
    <w:p/>
    <w:p>
      <w:r>
        <w:rPr>
          <w:t xml:space="preserve">Prefiled 12/04/24.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establishing a department of transportation map for the placement of campaign signage; and adding a new section to chapter 47.01 RCW. 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1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must develop and maintain a publicly available map that indicates all locations where temporary political campaign signs are permitted to be placed along any main-traveled way of the interstate system, primary system, or scenic system across the state. The map must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All department-owned or managed land;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All locations where signs are prohibited because of a state highway right-of-way;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Any adjoining private or public land where signs are not prohibited due to proximity to an interstate system, primary system, scenic system, or state highway right-of-way;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Any department-owned or managed land where signs are permitted.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map must be available on the department website and prominently placed for public access.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department may not remove any sign unless the map indicates that the sign is placed in a prohibited area.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05ce78f957a4b1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5013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6b3a7e45c4ebb" /><Relationship Type="http://schemas.openxmlformats.org/officeDocument/2006/relationships/footer" Target="/word/footer1.xml" Id="Rb05ce78f957a4b1c" /></Relationships>
</file>