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dd48a22c04213" /></Relationships>
</file>

<file path=word/document.xml><?xml version="1.0" encoding="utf-8"?>
<w:document xmlns:w="http://schemas.openxmlformats.org/wordprocessingml/2006/main">
  <w:body>
    <w:p>
      <w:r>
        <w:t>S-0038.1</w:t>
      </w:r>
    </w:p>
    <w:p>
      <w:pPr>
        <w:jc w:val="center"/>
      </w:pPr>
      <w:r>
        <w:t>_______________________________________________</w:t>
      </w:r>
    </w:p>
    <w:p/>
    <w:p>
      <w:pPr>
        <w:jc w:val="center"/>
      </w:pPr>
      <w:r>
        <w:rPr>
          <w:b/>
        </w:rPr>
        <w:t>SENATE BILL 5041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Conway, Hasegawa, Saldaña, Salomon, Stanford, Dhingra, Nobles, Trudeau, Valdez, Bateman, Lovelett, and Cleveland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striking or lockout workers; amending RCW 50.20.090, 50.20.160, and 50.29.021; adding a new section to chapter 50.20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090</w:t>
      </w:r>
      <w:r>
        <w:rPr/>
        <w:t xml:space="preserve"> and 1988 c 83 s 1 are each amended to read as follows:</w:t>
      </w:r>
    </w:p>
    <w:p>
      <w:pPr>
        <w:spacing w:before="0" w:after="0" w:line="408" w:lineRule="exact"/>
        <w:ind w:left="0" w:right="0" w:firstLine="576"/>
        <w:jc w:val="left"/>
      </w:pPr>
      <w:r>
        <w:rPr/>
        <w:t xml:space="preserve">(1) An individual shall be disqualified for benefits for any week with respect to which the commissioner finds that the individual's unemployment is</w:t>
      </w:r>
      <w:r>
        <w:t>((</w:t>
      </w:r>
      <w:r>
        <w:rPr>
          <w:strike/>
        </w:rPr>
        <w:t xml:space="preserve">:</w:t>
      </w:r>
    </w:p>
    <w:p>
      <w:pPr>
        <w:spacing w:before="0" w:after="0" w:line="408" w:lineRule="exact"/>
        <w:ind w:left="0" w:right="0" w:firstLine="576"/>
        <w:jc w:val="left"/>
      </w:pPr>
      <w:r>
        <w:rPr>
          <w:strike/>
        </w:rPr>
        <w:t xml:space="preserve">(a) Due</w:t>
      </w:r>
      <w:r>
        <w:t>))</w:t>
      </w:r>
      <w:r>
        <w:rPr/>
        <w:t xml:space="preserve"> </w:t>
      </w:r>
      <w:r>
        <w:rPr>
          <w:u w:val="single"/>
        </w:rPr>
        <w:t xml:space="preserve">due</w:t>
      </w:r>
      <w:r>
        <w:rPr/>
        <w:t xml:space="preserve"> to a strike at the factory, establishment, or other premises at which the individual is or was last employed</w:t>
      </w:r>
      <w:r>
        <w:t>((</w:t>
      </w:r>
      <w:r>
        <w:rPr>
          <w:strike/>
        </w:rPr>
        <w:t xml:space="preserve">; or</w:t>
      </w:r>
    </w:p>
    <w:p>
      <w:pPr>
        <w:spacing w:before="0" w:after="0" w:line="408" w:lineRule="exact"/>
        <w:ind w:left="0" w:right="0" w:firstLine="576"/>
        <w:jc w:val="left"/>
      </w:pPr>
      <w:r>
        <w:rPr>
          <w:strike/>
        </w:rPr>
        <w:t xml:space="preserve">(b) Due to a lockout by his or her employer who is a member of a multiemployer bargaining unit and who has locked out the employees at the factory, establishment, or other premises at which the individual is or was last employed after one member of the multiemployer bargaining unit has been struck by its employees as a result of the multiemployer bargaining process</w:t>
      </w:r>
      <w:r>
        <w:t>))</w:t>
      </w:r>
      <w:r>
        <w:rPr/>
        <w:t xml:space="preserve">.</w:t>
      </w:r>
    </w:p>
    <w:p>
      <w:pPr>
        <w:spacing w:before="0" w:after="0" w:line="408" w:lineRule="exact"/>
        <w:ind w:left="0" w:right="0" w:firstLine="576"/>
        <w:jc w:val="left"/>
      </w:pPr>
      <w:r>
        <w:rPr/>
        <w:t xml:space="preserve">(2) Subsection (1) of this section shall not apply if it is shown to the satisfaction of the commissioner that:</w:t>
      </w:r>
    </w:p>
    <w:p>
      <w:pPr>
        <w:spacing w:before="0" w:after="0" w:line="408" w:lineRule="exact"/>
        <w:ind w:left="0" w:right="0" w:firstLine="576"/>
        <w:jc w:val="left"/>
      </w:pPr>
      <w:r>
        <w:rPr/>
        <w:t xml:space="preserve">(a) The individual is not participating in or financing or directly interested in the strike </w:t>
      </w:r>
      <w:r>
        <w:t>((</w:t>
      </w:r>
      <w:r>
        <w:rPr>
          <w:strike/>
        </w:rPr>
        <w:t xml:space="preserve">or lockout</w:t>
      </w:r>
      <w:r>
        <w:t>))</w:t>
      </w:r>
      <w:r>
        <w:rPr/>
        <w:t xml:space="preserve"> that caused the individual's unemployment; and</w:t>
      </w:r>
    </w:p>
    <w:p>
      <w:pPr>
        <w:spacing w:before="0" w:after="0" w:line="408" w:lineRule="exact"/>
        <w:ind w:left="0" w:right="0" w:firstLine="576"/>
        <w:jc w:val="left"/>
      </w:pPr>
      <w:r>
        <w:rPr/>
        <w:t xml:space="preserve">(b) The individual does not belong to a grade or class of workers of which, immediately before the commencement of the strike </w:t>
      </w:r>
      <w:r>
        <w:t>((</w:t>
      </w:r>
      <w:r>
        <w:rPr>
          <w:strike/>
        </w:rPr>
        <w:t xml:space="preserve">or lockout</w:t>
      </w:r>
      <w:r>
        <w:t>))</w:t>
      </w:r>
      <w:r>
        <w:rPr/>
        <w:t xml:space="preserve">, there were members employed at the premises at which the strike </w:t>
      </w:r>
      <w:r>
        <w:t>((</w:t>
      </w:r>
      <w:r>
        <w:rPr>
          <w:strike/>
        </w:rPr>
        <w:t xml:space="preserve">or lockout</w:t>
      </w:r>
      <w:r>
        <w:t>))</w:t>
      </w:r>
      <w:r>
        <w:rPr/>
        <w:t xml:space="preserve"> occurs, any of whom are participating in or financing or directly interested in the strike </w:t>
      </w:r>
      <w:r>
        <w:t>((</w:t>
      </w:r>
      <w:r>
        <w:rPr>
          <w:strike/>
        </w:rPr>
        <w:t xml:space="preserve">or lockout</w:t>
      </w:r>
      <w:r>
        <w:t>))</w:t>
      </w:r>
      <w:r>
        <w:rPr/>
        <w:t xml:space="preserve">: PROVIDED, That if in any case separate branches of work which are commonly conducted as separate businesses in separate premises are conducted in separate departments of the same premises, each such department shall, for the purpose of this </w:t>
      </w:r>
      <w:r>
        <w:t>((</w:t>
      </w:r>
      <w:r>
        <w:rPr>
          <w:strike/>
        </w:rPr>
        <w:t xml:space="preserve">subdivision</w:t>
      </w:r>
      <w:r>
        <w:t>))</w:t>
      </w:r>
      <w:r>
        <w:rPr/>
        <w:t xml:space="preserve"> </w:t>
      </w:r>
      <w:r>
        <w:rPr>
          <w:u w:val="single"/>
        </w:rPr>
        <w:t xml:space="preserve">subsection</w:t>
      </w:r>
      <w:r>
        <w:rPr/>
        <w:t xml:space="preserve">, be deemed to be a separate factory, establishment, or other premises.</w:t>
      </w:r>
    </w:p>
    <w:p>
      <w:pPr>
        <w:spacing w:before="0" w:after="0" w:line="408" w:lineRule="exact"/>
        <w:ind w:left="0" w:right="0" w:firstLine="576"/>
        <w:jc w:val="left"/>
      </w:pPr>
      <w:r>
        <w:rPr/>
        <w:t xml:space="preserve">(3)</w:t>
      </w:r>
      <w:r>
        <w:rPr>
          <w:u w:val="single"/>
        </w:rPr>
        <w:t xml:space="preserve">(a)</w:t>
      </w:r>
      <w:r>
        <w:rPr/>
        <w:t xml:space="preserve"> Any disqualification imposed under this section shall end </w:t>
      </w:r>
      <w:r>
        <w:t>((</w:t>
      </w:r>
      <w:r>
        <w:rPr>
          <w:strike/>
        </w:rPr>
        <w:t xml:space="preserve">when</w:t>
      </w:r>
      <w:r>
        <w:t>))</w:t>
      </w:r>
      <w:r>
        <w:rPr/>
        <w:t xml:space="preserve"> </w:t>
      </w:r>
      <w:r>
        <w:rPr>
          <w:u w:val="single"/>
        </w:rPr>
        <w:t xml:space="preserve">on the earlier of:</w:t>
      </w:r>
    </w:p>
    <w:p>
      <w:pPr>
        <w:spacing w:before="0" w:after="0" w:line="408" w:lineRule="exact"/>
        <w:ind w:left="0" w:right="0" w:firstLine="576"/>
        <w:jc w:val="left"/>
      </w:pPr>
      <w:r>
        <w:rPr>
          <w:u w:val="single"/>
        </w:rPr>
        <w:t xml:space="preserve">(i) The second Sunday following the first date of the strike, provided that the strike is not found to be prohibited by federal or state law in a final judgment. If a final judgment finds that a strike is prohibited by state or federal law, any benefits paid are liable for repayment as set forth in RCW 50.20.190; or</w:t>
      </w:r>
    </w:p>
    <w:p>
      <w:pPr>
        <w:spacing w:before="0" w:after="0" w:line="408" w:lineRule="exact"/>
        <w:ind w:left="0" w:right="0" w:firstLine="576"/>
        <w:jc w:val="left"/>
      </w:pPr>
      <w:r>
        <w:rPr>
          <w:u w:val="single"/>
        </w:rPr>
        <w:t xml:space="preserve">(ii) The date</w:t>
      </w:r>
      <w:r>
        <w:rPr/>
        <w:t xml:space="preserve"> the strike </w:t>
      </w:r>
      <w:r>
        <w:t>((</w:t>
      </w:r>
      <w:r>
        <w:rPr>
          <w:strike/>
        </w:rPr>
        <w:t xml:space="preserve">or lockout</w:t>
      </w:r>
      <w:r>
        <w:t>))</w:t>
      </w:r>
      <w:r>
        <w:rPr/>
        <w:t xml:space="preserve"> is terminated.</w:t>
      </w:r>
    </w:p>
    <w:p>
      <w:pPr>
        <w:spacing w:before="0" w:after="0" w:line="408" w:lineRule="exact"/>
        <w:ind w:left="0" w:right="0" w:firstLine="576"/>
        <w:jc w:val="left"/>
      </w:pPr>
      <w:r>
        <w:rPr>
          <w:u w:val="single"/>
        </w:rPr>
        <w:t xml:space="preserve">(b) When the disqualification ends, the individual is subject to the one week waiting period as provided in RCW 50.20.010 and any benefits must be calculated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160</w:t>
      </w:r>
      <w:r>
        <w:rPr/>
        <w:t xml:space="preserve"> and 2003 2nd sp.s. c 4 s 31 are each amended to read as follows:</w:t>
      </w:r>
    </w:p>
    <w:p>
      <w:pPr>
        <w:spacing w:before="0" w:after="0" w:line="408" w:lineRule="exact"/>
        <w:ind w:left="0" w:right="0" w:firstLine="576"/>
        <w:jc w:val="left"/>
      </w:pPr>
      <w:r>
        <w:rPr/>
        <w:t xml:space="preserve">(1) A determination of amount of benefits potentially payable issued pursuant to the provisions of RCW 50.20.120 and 50.20.140 shall not serve as a basis for appeal but shall be subject to request by the claimant for reconsideration and/or for redetermination by the commissioner at any time within one year from the date of delivery or mailing of such determination, or any redetermination thereof: PROVIDED, That in the absence of fraud or misrepresentation on the part of the claimant, any benefits paid prior to the date of any redetermination which reduces the amount of benefits payable shall not be subject to recovery under the provisions of RCW 50.20.190. A denial of a request to reconsider or a redetermination shall be furnished the claimant in writing and provide the basis for appeal under the provisions of RCW 50.32.020.</w:t>
      </w:r>
    </w:p>
    <w:p>
      <w:pPr>
        <w:spacing w:before="0" w:after="0" w:line="408" w:lineRule="exact"/>
        <w:ind w:left="0" w:right="0" w:firstLine="576"/>
        <w:jc w:val="left"/>
      </w:pPr>
      <w:r>
        <w:rPr/>
        <w:t xml:space="preserve">(2) A determination of denial of benefits issued under the provisions of RCW 50.20.180 shall become final, in absence of timely appeal therefrom: PROVIDED, That the commissioner may reconsider and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absence of a timely appeal therefrom: PROVIDED, That the commissioner may redetermine such allowance at any time within two years following the benefit year in which such allowance was made in order to recover any benefits improperly paid and for which recovery is provided under the provisions of RCW 50.20.190: AND PROVIDED FURTHER, That in the absence of fraud, misrepresentation, or nondisclosure, this provision or the provisions of RCW 50.20.190 shall not be construed so as to permit redetermination or recovery of an allowance of benefits which having been made after consideration of the provisions of RCW 50.20.010(1)(c), or the provisions of RCW 50.20.050, 50.20.060, </w:t>
      </w:r>
      <w:r>
        <w:rPr>
          <w:u w:val="single"/>
        </w:rPr>
        <w:t xml:space="preserve">or</w:t>
      </w:r>
      <w:r>
        <w:rPr/>
        <w:t xml:space="preserve"> 50.20.080</w:t>
      </w:r>
      <w:r>
        <w:t>((</w:t>
      </w:r>
      <w:r>
        <w:rPr>
          <w:strike/>
        </w:rPr>
        <w:t xml:space="preserve">, or 50.20.090</w:t>
      </w:r>
      <w:r>
        <w:t>))</w:t>
      </w:r>
      <w:r>
        <w:rPr/>
        <w:t xml:space="preserve"> has become final.</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fraud, misrepresentation, or willful nondisclosure. Written notice of any such redetermination shall be promptly given by mail or delivered to such interested parties as were notified of the initial determination or determination of denial or allowance of benefits and any new interested party or parties who, pursuant to such regulation as the commissioner may prescribe,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2024 c 51 s 1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w:t>
      </w:r>
    </w:p>
    <w:p>
      <w:pPr>
        <w:spacing w:before="0" w:after="0" w:line="408" w:lineRule="exact"/>
        <w:ind w:left="0" w:right="0" w:firstLine="576"/>
        <w:jc w:val="left"/>
      </w:pPr>
      <w:r>
        <w:rPr/>
        <w:t xml:space="preserve">(i) The individual qualifies for benefits under RCW 50.20.050 (1)(b)(i) or (2)(b)(i), as applicable, and became unemployed after having worked and earned wages in the bona fide work;</w:t>
      </w:r>
    </w:p>
    <w:p>
      <w:pPr>
        <w:spacing w:before="0" w:after="0" w:line="408" w:lineRule="exact"/>
        <w:ind w:left="0" w:right="0" w:firstLine="576"/>
        <w:jc w:val="left"/>
      </w:pPr>
      <w:r>
        <w:rPr/>
        <w:t xml:space="preserve">(ii) The individual qualifies for benefits under RCW 50.20.050 (1)(b) (v) through (x) or (2)(b) (v) through (x); </w:t>
      </w:r>
      <w:r>
        <w:t>((</w:t>
      </w:r>
      <w:r>
        <w:rPr>
          <w:strike/>
        </w:rPr>
        <w:t xml:space="preserve">or</w:t>
      </w:r>
      <w:r>
        <w:t>))</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r>
        <w:rPr>
          <w:u w:val="single"/>
        </w:rPr>
        <w:t xml:space="preserve">; or</w:t>
      </w:r>
    </w:p>
    <w:p>
      <w:pPr>
        <w:spacing w:before="0" w:after="0" w:line="408" w:lineRule="exact"/>
        <w:ind w:left="0" w:right="0" w:firstLine="576"/>
        <w:jc w:val="left"/>
      </w:pPr>
      <w:r>
        <w:rPr>
          <w:u w:val="single"/>
        </w:rPr>
        <w:t xml:space="preserve">(iv) The individual's unemployment is due to a strike at the separating employer's factory, establishment, or other premises at which the individual is or was last employed</w:t>
      </w:r>
      <w:r>
        <w:rPr/>
        <w:t xml:space="preserve">.</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 in (a) through (i) of this subsection. The department may not require an employer to submit a request in order for these benefits to not be charged.</w:t>
      </w:r>
    </w:p>
    <w:p>
      <w:pPr>
        <w:spacing w:before="0" w:after="0" w:line="408" w:lineRule="exact"/>
        <w:ind w:left="0" w:right="0" w:firstLine="576"/>
        <w:jc w:val="left"/>
      </w:pPr>
      <w:r>
        <w:rPr/>
        <w:t xml:space="preserve">(a) Benefits paid to any individual later determined to be ineligible for those benefits or disqualified to receive those benefits shall not be charged to the experience rating account of any contribution paying employer, except:</w:t>
      </w:r>
    </w:p>
    <w:p>
      <w:pPr>
        <w:spacing w:before="0" w:after="0" w:line="408" w:lineRule="exact"/>
        <w:ind w:left="0" w:right="0" w:firstLine="576"/>
        <w:jc w:val="left"/>
      </w:pPr>
      <w:r>
        <w:rPr/>
        <w:t xml:space="preserve">(i) As provided in subsection (4) of this section; or</w:t>
      </w:r>
    </w:p>
    <w:p>
      <w:pPr>
        <w:spacing w:before="0" w:after="0" w:line="408" w:lineRule="exact"/>
        <w:ind w:left="0" w:right="0" w:firstLine="576"/>
        <w:jc w:val="left"/>
      </w:pPr>
      <w:r>
        <w:rPr/>
        <w:t xml:space="preserve">(ii)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If the department determines an individual left the employ of the separating employer under the circumstances described in RCW 50.20.050(1)(b) (iv) or (xi), (2)(b)(ii), only for separation that was necessary because the care for a child or a vulnerable adult in the claimant's care is inaccessible, (iv), (xi), (xii), or (xiii), or (3), as applicable, benefits paid to that individual shall not be charged to the experience rating account of any base year contribution paying employer.</w:t>
      </w:r>
    </w:p>
    <w:p>
      <w:pPr>
        <w:spacing w:before="0" w:after="0" w:line="408" w:lineRule="exact"/>
        <w:ind w:left="0" w:right="0" w:firstLine="576"/>
        <w:jc w:val="left"/>
      </w:pPr>
      <w:r>
        <w:rPr/>
        <w:t xml:space="preserve">(f)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(g)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(h)(i)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(i)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 In addition to other circumstances identified by the department by rule, an individual who leaves the employ of such employer under the circumstances described in RCW 50.20.050(1)(b) (iv) or (xi), (2)(b) (iv), (xi), or (xii), or (3) must be deemed to have left their employ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by the employer seeking relief and: (A) The employer furnished part-time work to the individual during the base year; (B) the individual has become eligible for benefits because of loss of employment with one or more other employers; and (C) the employer has continued to furnish or make available part-time work to the individual in substantially the same amount as during the individual's base year. This subsection does not apply to shared work employers under chapter 50.60 RCW;</w:t>
      </w:r>
    </w:p>
    <w:p>
      <w:pPr>
        <w:spacing w:before="0" w:after="0" w:line="408" w:lineRule="exact"/>
        <w:ind w:left="0" w:right="0" w:firstLine="576"/>
        <w:jc w:val="left"/>
      </w:pPr>
      <w:r>
        <w:rPr/>
        <w:t xml:space="preserve">(v)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(3)(a)(vi) applies to claims with an effective date on or after January 1, 2020; or</w:t>
      </w:r>
    </w:p>
    <w:p>
      <w:pPr>
        <w:spacing w:before="0" w:after="0" w:line="408" w:lineRule="exact"/>
        <w:ind w:left="0" w:right="0" w:firstLine="576"/>
        <w:jc w:val="left"/>
      </w:pPr>
      <w:r>
        <w:rPr/>
        <w:t xml:space="preserve">(vii)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30 days following mailing to the last known address of the notification of the valid initial determination of such claim, stating the date and reason for the separation or the circumstances of continued employment. The department may waive this time limitation for good cause.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whether an individual is eligible for or qualified to receive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If an individual receives benefits under this title while being unemployed due to a strike at the separating employer's factory, establishment, or other premises and the individual subsequently receives retroactive wages from the separating employer for any week for which he or she received benefits under this title, the department shall issue an overpayment assessment to recover the corresponding benefits as provided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e3ac252a36a942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4bb2b45aee4416" /><Relationship Type="http://schemas.openxmlformats.org/officeDocument/2006/relationships/footer" Target="/word/footer1.xml" Id="Re3ac252a36a94239" /></Relationships>
</file>