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36e0850184c9e" /></Relationships>
</file>

<file path=word/document.xml><?xml version="1.0" encoding="utf-8"?>
<w:document xmlns:w="http://schemas.openxmlformats.org/wordprocessingml/2006/main">
  <w:body>
    <w:p>
      <w:r>
        <w:t>S-0271.1</w:t>
      </w:r>
    </w:p>
    <w:p>
      <w:pPr>
        <w:jc w:val="center"/>
      </w:pPr>
      <w:r>
        <w:t>_______________________________________________</w:t>
      </w:r>
    </w:p>
    <w:p/>
    <w:p>
      <w:pPr>
        <w:jc w:val="center"/>
      </w:pPr>
      <w:r>
        <w:rPr>
          <w:b/>
        </w:rPr>
        <w:t>SENATE BILL 5055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Wagoner</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agritourism in Washington; amending RCW 36.70A.177; adding a new section to chapter 36.70 RCW; adding a new section to chapter 19.27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w:t>
      </w:r>
      <w:r>
        <w:t>((</w:t>
      </w:r>
      <w:r>
        <w:rPr>
          <w:strike/>
        </w:rPr>
        <w:t xml:space="preserve">and</w:t>
      </w:r>
      <w:r>
        <w:t>))</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 and</w:t>
      </w:r>
    </w:p>
    <w:p>
      <w:pPr>
        <w:spacing w:before="0" w:after="0" w:line="408" w:lineRule="exact"/>
        <w:ind w:left="0" w:right="0" w:firstLine="576"/>
        <w:jc w:val="left"/>
      </w:pPr>
      <w:r>
        <w:rPr>
          <w:u w:val="single"/>
        </w:rPr>
        <w:t xml:space="preserve">(iii) Agritourism activities, as defined in RCW 4.24.830, that generate supplemental income for farms by connecting their resources and products with visitors. Such activities may include direct sales, educational activities, entertainment, seasonal outdoor activities, and hospitality. In order to be included as accessory uses, activities must promote agriculture and rural character within agricultural zones and must be related to the on-site agriculture. Counties may permit agritourism after consultation with neighboring landowners and after creating criteria regarding adequate water, septic, and parking as well as curfews and seasons of use to avoid disturbing the peace and quiet enjoyment of neighbors and interference with neighboring agriculture;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Counties may adopt ordinances to permit agritourism activities, as defined in RCW 4.24.830, that generate supplemental income for farms in agricultural zones. Such activities may include direct sales, educational activities, entertainment, seasonal outdoor activities, and hospitality. In order to be included as accessory uses, activities must promote agriculture and rural character within agricultural zones and must be related to the on-site agriculture. Counties may permit agritourism after consultation with neighboring landowners and after creating criteria regarding adequate water, septic, and parking as well as curfews and seasons of use to avoid disturbing the peace and quiet enjoyment of neighbors and interference with neighboring agriculture.</w:t>
      </w:r>
    </w:p>
    <w:p>
      <w:pPr>
        <w:spacing w:before="0" w:after="0" w:line="408" w:lineRule="exact"/>
        <w:ind w:left="0" w:right="0" w:firstLine="576"/>
        <w:jc w:val="left"/>
      </w:pPr>
      <w:r>
        <w:rPr/>
        <w:t xml:space="preserve">(2) The presence of agritourism activities may not be used as a basis to change the taxation category of the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Agricultural buildings also used for agritourism purposes are not required to meet additional commercial standards if the venue is only open six months or less every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beer and wine license to be issued to an agritourism venue for the sale of beer, strong beer, and wine for on-premises consumption.</w:t>
      </w:r>
    </w:p>
    <w:p>
      <w:pPr>
        <w:spacing w:before="0" w:after="0" w:line="408" w:lineRule="exact"/>
        <w:ind w:left="0" w:right="0" w:firstLine="576"/>
        <w:jc w:val="left"/>
      </w:pPr>
      <w:r>
        <w:rPr/>
        <w:t xml:space="preserve">(2) Agritourism venues may sell beer and wine for off-premises consumption if the beer and wine is manufactured by a microbrewery or craft winery located within the state.</w:t>
      </w:r>
    </w:p>
    <w:p>
      <w:pPr>
        <w:spacing w:before="0" w:after="0" w:line="408" w:lineRule="exact"/>
        <w:ind w:left="0" w:right="0" w:firstLine="576"/>
        <w:jc w:val="left"/>
      </w:pPr>
      <w:r>
        <w:rPr/>
        <w:t xml:space="preserve">(3) Agritourism venues must provide a plan to prevent minors from unlawfully accessing alcoholic beverages.</w:t>
      </w:r>
    </w:p>
    <w:p/>
    <w:p>
      <w:pPr>
        <w:jc w:val="center"/>
      </w:pPr>
      <w:r>
        <w:rPr>
          <w:b/>
        </w:rPr>
        <w:t>--- END ---</w:t>
      </w:r>
    </w:p>
    <w:sectPr>
      <w:pgNumType w:start="1"/>
      <w:footerReference xmlns:r="http://schemas.openxmlformats.org/officeDocument/2006/relationships" r:id="R4e7a5cac004641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72f5a33f3641dd" /><Relationship Type="http://schemas.openxmlformats.org/officeDocument/2006/relationships/footer" Target="/word/footer1.xml" Id="R4e7a5cac004641af" /></Relationships>
</file>