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cff221f474cbe" /></Relationships>
</file>

<file path=word/document.xml><?xml version="1.0" encoding="utf-8"?>
<w:document xmlns:w="http://schemas.openxmlformats.org/wordprocessingml/2006/main">
  <w:body>
    <w:p>
      <w:r>
        <w:t>S-0335.1</w:t>
      </w:r>
    </w:p>
    <w:p>
      <w:pPr>
        <w:jc w:val="center"/>
      </w:pPr>
      <w:r>
        <w:t>_______________________________________________</w:t>
      </w:r>
    </w:p>
    <w:p/>
    <w:p>
      <w:pPr>
        <w:jc w:val="center"/>
      </w:pPr>
      <w:r>
        <w:rPr>
          <w:b/>
        </w:rPr>
        <w:t>SENATE BILL 5068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Hansen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agencies, firefighters, prosecutors, and general or limited authority law enforcement, extending eligibility for employment to all United States citizens or persons legally authorized to work in the United States under federal law; amending RCW 10.93.165, 10.93.200, 41.08.070, 41.12.070, 41.14.100, 36.27.040, 43.101.095, and 77.15.075; and adding a new section to chapter 36.27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165</w:t>
      </w:r>
      <w:r>
        <w:rPr/>
        <w:t xml:space="preserve"> and 2024 c 11 s 1 are each amended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for any office, place, position, or employment within the agency.</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200</w:t>
      </w:r>
      <w:r>
        <w:rPr/>
        <w:t xml:space="preserve"> and 2024 c 330 s 2 are each amended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w:t>
      </w:r>
      <w:r>
        <w:t>((</w:t>
      </w:r>
      <w:r>
        <w:rPr>
          <w:strike/>
        </w:rPr>
        <w:t xml:space="preserve">a lawful permanent resident as defined in RCW 41.04.899 or a person who is a deferred action for childhood arrivals recipient</w:t>
      </w:r>
      <w:r>
        <w:t>))</w:t>
      </w:r>
      <w:r>
        <w:rPr/>
        <w:t xml:space="preserve"> </w:t>
      </w:r>
      <w:r>
        <w:rPr>
          <w:u w:val="single"/>
        </w:rPr>
        <w:t xml:space="preserve">legally authorized to work in the United States under federal law</w:t>
      </w:r>
      <w:r>
        <w:rPr/>
        <w:t xml:space="preserve">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2024 c 330 s 5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2024 c 330 s 6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w:t>
      </w:r>
      <w:r>
        <w:t>((</w:t>
      </w:r>
      <w:r>
        <w:rPr>
          <w:strike/>
        </w:rPr>
        <w:t xml:space="preserve">citizen of the United States of America, a lawful permanent resident, or a deferred action for childhood arrivals recipient</w:t>
      </w:r>
      <w:r>
        <w:t>))</w:t>
      </w:r>
      <w:r>
        <w:rPr/>
        <w:t xml:space="preserve"> </w:t>
      </w:r>
      <w:r>
        <w:rPr>
          <w:u w:val="single"/>
        </w:rPr>
        <w:t xml:space="preserve">person who is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2024 c 330 s 7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2024 c 11 s 2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nor a qualified elector therein. Each deputy appointed must be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41.56.030(12)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41.56.030(12) require a prosecuting attorney to alter the at-will relationship established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Employees of prosecuting attorneys' offices must be legally authorized to work in the United States under federal law.</w:t>
      </w:r>
    </w:p>
    <w:p>
      <w:pPr>
        <w:spacing w:before="0" w:after="0" w:line="408" w:lineRule="exact"/>
        <w:ind w:left="0" w:right="0" w:firstLine="576"/>
        <w:jc w:val="left"/>
      </w:pPr>
      <w:r>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2024 c 330 s 10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w:t>
      </w:r>
      <w:r>
        <w:t>((</w:t>
      </w:r>
      <w:r>
        <w:rPr>
          <w:strike/>
        </w:rPr>
        <w:t xml:space="preserve">either</w:t>
      </w:r>
      <w:r>
        <w:t>))</w:t>
      </w:r>
      <w:r>
        <w:rPr/>
        <w:t xml:space="preserve"> a </w:t>
      </w:r>
      <w:r>
        <w:t>((</w:t>
      </w:r>
      <w:r>
        <w:rPr>
          <w:strike/>
        </w:rPr>
        <w:t xml:space="preserve">citizen of the United States of America, lawful permanent resident, or deferred action for childhood arrivals recipient</w:t>
      </w:r>
      <w:r>
        <w:t>))</w:t>
      </w:r>
      <w:r>
        <w:rPr/>
        <w:t xml:space="preserve"> </w:t>
      </w:r>
      <w:r>
        <w:rPr>
          <w:u w:val="single"/>
        </w:rPr>
        <w:t xml:space="preserve">person who is legally authorized to work in the United States under federal law.</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2024 c 330 s 8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fish and wildlife officer position must be able to speak, read,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
      <w:pPr>
        <w:jc w:val="center"/>
      </w:pPr>
      <w:r>
        <w:rPr>
          <w:b/>
        </w:rPr>
        <w:t>--- END ---</w:t>
      </w:r>
    </w:p>
    <w:sectPr>
      <w:pgNumType w:start="1"/>
      <w:footerReference xmlns:r="http://schemas.openxmlformats.org/officeDocument/2006/relationships" r:id="Rd7a84de9b74a49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b471f37b44de8" /><Relationship Type="http://schemas.openxmlformats.org/officeDocument/2006/relationships/footer" Target="/word/footer1.xml" Id="Rd7a84de9b74a4983" /></Relationships>
</file>