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D3573" w:rsidP="0072541D">
          <w:pPr>
            <w:pStyle w:val="AmendDocName"/>
          </w:pPr>
          <w:customXml w:element="BillDocName">
            <w:r>
              <w:t xml:space="preserve">6508-S.E2</w:t>
            </w:r>
          </w:customXml>
          <w:customXml w:element="AmendType">
            <w:r>
              <w:t xml:space="preserve"> AMH</w:t>
            </w:r>
          </w:customXml>
          <w:customXml w:element="SponsorAcronym">
            <w:r>
              <w:t xml:space="preserve"> ....</w:t>
            </w:r>
          </w:customXml>
          <w:customXml w:element="DrafterAcronym">
            <w:r>
              <w:t xml:space="preserve"> ADAM</w:t>
            </w:r>
          </w:customXml>
          <w:customXml w:element="DraftNumber">
            <w:r>
              <w:t xml:space="preserve"> 140</w:t>
            </w:r>
          </w:customXml>
        </w:p>
      </w:customXml>
      <w:customXml w:element="Heading">
        <w:p w:rsidR="00DF5D0E" w:rsidRDefault="00AD3573">
          <w:customXml w:element="ReferenceNumber">
            <w:r w:rsidR="00F5002A">
              <w:rPr>
                <w:b/>
                <w:u w:val="single"/>
              </w:rPr>
              <w:t>2ESSB 6508</w:t>
            </w:r>
            <w:r w:rsidR="00DE256E">
              <w:t xml:space="preserve"> - </w:t>
            </w:r>
          </w:customXml>
          <w:customXml w:element="Floor">
            <w:r w:rsidR="00F5002A">
              <w:t>H AMD TO WAYS COMM AMD (H-5513.1/10)</w:t>
            </w:r>
          </w:customXml>
          <w:customXml w:element="AmendNumber">
            <w:r>
              <w:rPr>
                <w:b/>
              </w:rPr>
              <w:t xml:space="preserve"> 1467</w:t>
            </w:r>
          </w:customXml>
        </w:p>
        <w:p w:rsidR="00DF5D0E" w:rsidRDefault="00AD3573" w:rsidP="00605C39">
          <w:pPr>
            <w:ind w:firstLine="576"/>
          </w:pPr>
          <w:customXml w:element="Sponsors">
            <w:r>
              <w:t xml:space="preserve">By Representative Shea</w:t>
            </w:r>
          </w:customXml>
        </w:p>
        <w:p w:rsidR="00DF5D0E" w:rsidRDefault="00AD3573" w:rsidP="00846034">
          <w:pPr>
            <w:spacing w:line="408" w:lineRule="exact"/>
            <w:jc w:val="right"/>
            <w:rPr>
              <w:b/>
              <w:bCs/>
            </w:rPr>
          </w:pPr>
          <w:customXml w:element="FloorAction">
            <w:r>
              <w:t xml:space="preserve">NOT ADOPTED 3/04/2010</w:t>
            </w:r>
          </w:customXml>
        </w:p>
      </w:customXml>
      <w:permStart w:id="0" w:edGrp="everyone" w:displacedByCustomXml="next"/>
      <w:customXml w:element="Page">
        <w:p w:rsidR="00961615" w:rsidRDefault="00AD3573" w:rsidP="0096161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942B34">
            <w:tab/>
          </w:r>
          <w:r w:rsidR="00961615">
            <w:t>On page 2, after line 2 of the striking amendment, insert the following:</w:t>
          </w:r>
        </w:p>
        <w:p w:rsidR="00961615" w:rsidRDefault="00961615" w:rsidP="00961615">
          <w:pPr>
            <w:pStyle w:val="RCWSLText"/>
          </w:pPr>
          <w:r>
            <w:tab/>
            <w:t>"</w:t>
          </w:r>
          <w:r>
            <w:rPr>
              <w:u w:val="single"/>
            </w:rPr>
            <w:t>(3) In an action under RCW 4.20.010 that is based on a parent's significant involvement in an adult child's life, if a defendant establishes by a preponderance of the evidence that a violation of RCW 46.61.687 or 46.61.688 contributed to the decedent's death, the liability of any defendants against whom judgment is entered is several and not joint.</w:t>
          </w:r>
          <w:r w:rsidRPr="00DF4CC1">
            <w:t>"</w:t>
          </w:r>
        </w:p>
        <w:p w:rsidR="00961615" w:rsidRDefault="00961615" w:rsidP="00961615">
          <w:pPr>
            <w:pStyle w:val="RCWSLText"/>
          </w:pPr>
        </w:p>
        <w:p w:rsidR="00961615" w:rsidRDefault="00961615" w:rsidP="00961615">
          <w:pPr>
            <w:pStyle w:val="RCWSLText"/>
          </w:pPr>
          <w:r>
            <w:tab/>
            <w:t>On page 2, after line 36 of the striking amendment, insert the following:</w:t>
          </w:r>
        </w:p>
        <w:p w:rsidR="00961615" w:rsidRDefault="00961615" w:rsidP="00961615">
          <w:pPr>
            <w:pStyle w:val="RCWSLText"/>
          </w:pPr>
          <w:r>
            <w:tab/>
            <w:t>"</w:t>
          </w:r>
          <w:r>
            <w:rPr>
              <w:u w:val="single"/>
            </w:rPr>
            <w:t>(5) In an action under this section that is based on a parent's significant involvement in a child's life, if a defendant establishes by a preponderance of the evidence that a violation of RCW 46.61.687 or 46.61.688 contributed to the decedent's death, the liability of any defendants against whom judgment is entered is several and not joint.</w:t>
          </w:r>
          <w:r w:rsidRPr="00DF4CC1">
            <w:t>"</w:t>
          </w:r>
        </w:p>
        <w:p w:rsidR="00961615" w:rsidRDefault="00961615" w:rsidP="00961615">
          <w:pPr>
            <w:pStyle w:val="RCWSLText"/>
          </w:pPr>
        </w:p>
        <w:p w:rsidR="00961615" w:rsidRDefault="00961615" w:rsidP="00961615">
          <w:pPr>
            <w:pStyle w:val="RCWSLText"/>
            <w:rPr>
              <w:u w:val="single"/>
            </w:rPr>
          </w:pPr>
          <w:r>
            <w:tab/>
            <w:t>On page 4, line 8 of the striking amendment, after "</w:t>
          </w:r>
          <w:r>
            <w:rPr>
              <w:u w:val="single"/>
            </w:rPr>
            <w:t>death</w:t>
          </w:r>
          <w:r>
            <w:t>" insert "</w:t>
          </w:r>
          <w:r>
            <w:rPr>
              <w:u w:val="single"/>
            </w:rPr>
            <w:t>.</w:t>
          </w:r>
        </w:p>
        <w:p w:rsidR="00961615" w:rsidRDefault="00961615" w:rsidP="00961615">
          <w:pPr>
            <w:pStyle w:val="RCWSLText"/>
          </w:pPr>
          <w:r w:rsidRPr="00DF4CC1">
            <w:tab/>
          </w:r>
          <w:r>
            <w:rPr>
              <w:u w:val="single"/>
            </w:rPr>
            <w:t>(5) In an action under this section that is based on a parent's significant involvement in a child's life, if a defendant establishes by a preponderance of the evidence that a violation of RCW 46.61.687 or 46.61.688 contributed to the decedent's death, the liability of any defendants against whom judgment is entered is several and not joint</w:t>
          </w:r>
          <w:r w:rsidRPr="00DF4CC1">
            <w:t>"</w:t>
          </w:r>
        </w:p>
        <w:p w:rsidR="00961615" w:rsidRDefault="00961615" w:rsidP="00961615">
          <w:pPr>
            <w:pStyle w:val="RCWSLText"/>
          </w:pPr>
        </w:p>
        <w:p w:rsidR="00961615" w:rsidRDefault="00961615" w:rsidP="00961615">
          <w:pPr>
            <w:pStyle w:val="RCWSLText"/>
          </w:pPr>
          <w:r>
            <w:tab/>
            <w:t>On page 5, after line 12 of the striking amendment, insert the following:</w:t>
          </w:r>
        </w:p>
        <w:p w:rsidR="00961615" w:rsidRDefault="00961615" w:rsidP="00961615">
          <w:pPr>
            <w:pStyle w:val="RCWSLText"/>
          </w:pPr>
          <w:r>
            <w:lastRenderedPageBreak/>
            <w:tab/>
            <w:t>"</w:t>
          </w:r>
          <w:r>
            <w:rPr>
              <w:u w:val="single"/>
            </w:rPr>
            <w:t>(6) In an action under this section that is based on a parent's significant involvement in a child's life, if a defendant establishes by a preponderance of the evidence that a violation of RCW 46.61.687 or 46.61.688 contributed to the decedent's death, the liability of any defendants against whom judgment is entered is several and not joint.</w:t>
          </w:r>
        </w:p>
        <w:p w:rsidR="00961615" w:rsidRDefault="00961615" w:rsidP="00961615">
          <w:pPr>
            <w:pStyle w:val="RCWSLText"/>
          </w:pPr>
        </w:p>
        <w:p w:rsidR="00961615" w:rsidRDefault="00961615" w:rsidP="00961615">
          <w:pPr>
            <w:pStyle w:val="RCWSLText"/>
          </w:pPr>
          <w:r>
            <w:tab/>
          </w:r>
          <w:r>
            <w:rPr>
              <w:b/>
            </w:rPr>
            <w:t xml:space="preserve">Sec. 5.  </w:t>
          </w:r>
          <w:r>
            <w:t>RCW 4.22.070 and 1993 c 496 s 1 are each amended to read as follows:</w:t>
          </w:r>
        </w:p>
        <w:p w:rsidR="00961615" w:rsidRDefault="00961615" w:rsidP="00961615">
          <w:pPr>
            <w:pStyle w:val="RCWSLText"/>
          </w:pPr>
          <w:r>
            <w:tab/>
            <w:t>(1) In all actions involving fault of more than one entity, the trier of fact shall determine the percentage of the total fault which is attributable to every entity which caused the claimant's damages except entities immune from liability to the claimant under Title 51 RCW.  The sum of the percentages of the total fault attributed to at-fault entities shall equal one hundred percent.  The entities whose fault shall be determined include the claimant or person suffering personal injury or incurring property damage, defen</w:t>
          </w:r>
          <w:r>
            <w:softHyphen/>
            <w:t>dants, third-party defendants, entities released by the claimant, entities with any other individual defense against the claimant, and entities immune from liabili</w:t>
          </w:r>
          <w:r>
            <w:softHyphen/>
            <w:t>ty to the claimant, but shall not include those entities immune from liability to the claimant under Title 51 RCW.  Judgment shall be entered against each defendant except those who have been released by the claimant or are immune from liability to the claimant or have prevailed on any other individual defense against the claimant in an amount which repre</w:t>
          </w:r>
          <w:r>
            <w:softHyphen/>
            <w:t xml:space="preserve">sents that party's proportionate share of the claimant's total damages.  </w:t>
          </w:r>
          <w:r w:rsidRPr="003771F8">
            <w:t>T</w:t>
          </w:r>
          <w:r>
            <w:t xml:space="preserve">he liability of each defendant shall be several only and shall not be joint except </w:t>
          </w:r>
          <w:r>
            <w:rPr>
              <w:u w:val="single"/>
            </w:rPr>
            <w:t>in the following circumstances</w:t>
          </w:r>
          <w:r>
            <w:t>:</w:t>
          </w:r>
        </w:p>
        <w:p w:rsidR="00961615" w:rsidRDefault="00961615" w:rsidP="00961615">
          <w:pPr>
            <w:pStyle w:val="RCWSLText"/>
          </w:pPr>
          <w:r>
            <w:tab/>
            <w:t>(a) A party shall be responsible for the fault of another person or for payment of the proportionate share of another party where both were acting in concert or when a person was acting as an agent or servant of the party.</w:t>
          </w:r>
        </w:p>
        <w:p w:rsidR="00961615" w:rsidRDefault="00961615" w:rsidP="00961615">
          <w:pPr>
            <w:pStyle w:val="RCWSLText"/>
          </w:pPr>
          <w:r>
            <w:tab/>
            <w:t>(b) If the trier of fact determines that the claim</w:t>
          </w:r>
          <w:r>
            <w:softHyphen/>
            <w:t xml:space="preserve">ant or party suffering bodily injury or incurring property damages was not at fault, the defendants against whom judgment is entered shall be </w:t>
          </w:r>
          <w:r>
            <w:lastRenderedPageBreak/>
            <w:t>jointly and severally liable for the sum of their proportionate shares of the ((</w:t>
          </w:r>
          <w:r w:rsidRPr="00E11892">
            <w:rPr>
              <w:strike/>
            </w:rPr>
            <w:t>claimants</w:t>
          </w:r>
          <w:r>
            <w:t xml:space="preserve">)) </w:t>
          </w:r>
          <w:r w:rsidRPr="00E11892">
            <w:rPr>
              <w:u w:val="single"/>
            </w:rPr>
            <w:t>claimant's</w:t>
          </w:r>
          <w:r>
            <w:t xml:space="preserve"> total damages</w:t>
          </w:r>
          <w:r>
            <w:rPr>
              <w:u w:val="single"/>
            </w:rPr>
            <w:t>, except as otherwise provided in RCW 4.20.020, 4.20.046, 4.20.060, and 4.24.010</w:t>
          </w:r>
          <w:r>
            <w:t>.</w:t>
          </w:r>
        </w:p>
        <w:p w:rsidR="00961615" w:rsidRDefault="00961615" w:rsidP="00961615">
          <w:pPr>
            <w:pStyle w:val="RCWSLText"/>
          </w:pPr>
          <w:r>
            <w:tab/>
            <w:t>(2) If a defendant is jointly and severally liable under one of the exceptions listed in subsections (1)(a) or (1)(b) of this section, such defendant's rights to contribution against another jointly and severally liable defendant, and the effect of settlement by either such defendant, shall be determined under RCW 4.22.040, 4.22.050, and 4.22.060.</w:t>
          </w:r>
        </w:p>
        <w:p w:rsidR="00961615" w:rsidRDefault="00961615" w:rsidP="00961615">
          <w:pPr>
            <w:pStyle w:val="RCWSLText"/>
          </w:pPr>
          <w:r>
            <w:tab/>
            <w:t>(3)(a) Nothing in this section affects any cause of action relating to hazardous wastes or substances or solid waste disposal sites.</w:t>
          </w:r>
        </w:p>
        <w:p w:rsidR="00961615" w:rsidRDefault="00961615" w:rsidP="00961615">
          <w:pPr>
            <w:pStyle w:val="RCWSLText"/>
          </w:pPr>
          <w:r>
            <w:tab/>
            <w:t>(b) Nothing in this section shall affect a cause of action arising from the tortious interference with contracts or business relations.</w:t>
          </w:r>
        </w:p>
        <w:p w:rsidR="00961615" w:rsidRDefault="00961615" w:rsidP="00961615">
          <w:pPr>
            <w:pStyle w:val="RCWSLText"/>
            <w:rPr>
              <w:b/>
            </w:rPr>
          </w:pPr>
          <w:r>
            <w:tab/>
            <w:t>(c) Nothing in this section shall affect any cause of action arising from the manufacture or marketing of a fungible product in a generic form which contains no clearly identifiable shape, color, or marking.</w:t>
          </w:r>
          <w:r>
            <w:rPr>
              <w:b/>
            </w:rPr>
            <w:t xml:space="preserve"> </w:t>
          </w:r>
        </w:p>
        <w:p w:rsidR="006F3C3D" w:rsidRDefault="006F3C3D" w:rsidP="006F3C3D">
          <w:pPr>
            <w:pStyle w:val="BegSec-Amd"/>
          </w:pPr>
          <w:r>
            <w:rPr>
              <w:b/>
            </w:rPr>
            <w:t xml:space="preserve">Sec. </w:t>
          </w:r>
          <w:r w:rsidR="00961615">
            <w:rPr>
              <w:b/>
            </w:rPr>
            <w:t>6</w:t>
          </w:r>
          <w:r>
            <w:rPr>
              <w:b/>
            </w:rPr>
            <w:t xml:space="preserve">.  </w:t>
          </w:r>
          <w:r>
            <w:t>RCW 46.61.687 and 2007 c 510 s 4 are each amended to read as follows:</w:t>
          </w:r>
        </w:p>
        <w:p w:rsidR="006F3C3D" w:rsidRDefault="006F3C3D" w:rsidP="006F3C3D">
          <w:pPr>
            <w:pStyle w:val="RCWSLText"/>
          </w:pPr>
          <w:r>
            <w:tab/>
            <w:t>(1) Whenever a child who is less than sixteen years of age is being transported in a motor vehicle that is in operation and that is required by RCW 46.37.510 to be equipped with a safety belt system in a passenger seating position, or is being transported in a neighborhood electric vehicle or medium-speed electric vehicle that is in operation, the driver of the vehicle shall keep the child properly restrained as follows:</w:t>
          </w:r>
        </w:p>
        <w:p w:rsidR="006F3C3D" w:rsidRDefault="006F3C3D" w:rsidP="006F3C3D">
          <w:pPr>
            <w:pStyle w:val="RCWSLText"/>
          </w:pPr>
          <w:r>
            <w:tab/>
            <w:t>(a) A child must be restrained in a child restraint system, if the passenger seating position equipped with a safety belt system allows sufficient space for installation, until the child is eight years old, unless the child is four feet nine inches or taller.  The child restraint system must comply with standards of the United States department of transportation and must be secured in the vehicle in accordance with instructions of the vehicle manufacturer and the child restraint system manufacturer.</w:t>
          </w:r>
        </w:p>
        <w:p w:rsidR="006F3C3D" w:rsidRDefault="006F3C3D" w:rsidP="006F3C3D">
          <w:pPr>
            <w:pStyle w:val="RCWSLText"/>
          </w:pPr>
          <w:r>
            <w:tab/>
            <w:t>(b) A child who is eight years of age or older or four feet nine inches or taller shall be properly restrained with the motor vehicle's safety belt properly adjusted and fastened around the child's body or an appropriately fitting child restraint system.</w:t>
          </w:r>
        </w:p>
        <w:p w:rsidR="006F3C3D" w:rsidRDefault="006F3C3D" w:rsidP="006F3C3D">
          <w:pPr>
            <w:pStyle w:val="RCWSLText"/>
          </w:pPr>
          <w:r>
            <w:tab/>
            <w:t>(c) The driver of a vehicle transporting a child who is under thirteen years old shall transport the child in the back seat positions in the vehicle where it is practical to do so.</w:t>
          </w:r>
        </w:p>
        <w:p w:rsidR="006F3C3D" w:rsidRDefault="006F3C3D" w:rsidP="006F3C3D">
          <w:pPr>
            <w:pStyle w:val="RCWSLText"/>
          </w:pPr>
          <w:r>
            <w:tab/>
            <w:t>(2) Enforcement of subsection (1) of this section is subject to a visual inspection by law enforcement to determine if the child restraint system in use is appropriate for the child's individual height, weight, and age.  The visual inspection for usage of a child restraint system must ensure that the child restraint system is being used in accordance with the instruction of the vehicle and the child restraint system manufacturers.  The driver of a vehicle transporting a child who is under thirteen years old shall transport the child in the back seat positions in the vehicle where it is practical to do so.</w:t>
          </w:r>
        </w:p>
        <w:p w:rsidR="006F3C3D" w:rsidRDefault="006F3C3D" w:rsidP="006F3C3D">
          <w:pPr>
            <w:pStyle w:val="RCWSLText"/>
          </w:pPr>
          <w:r>
            <w:tab/>
            <w:t>(3) A person violating subsection (1) of this section may be issued a notice of traffic infraction under chapter 46.63 RCW.  If the person to whom the notice was issued presents proof of acquisition of an approved child passenger restraint system or a child booster seat, as appropriate, within seven days to the jurisdiction issuing the notice and the person has not previously had a violation of this section dismissed, the jurisdiction shall dismiss the notice of traffic infraction.</w:t>
          </w:r>
        </w:p>
        <w:p w:rsidR="006F3C3D" w:rsidRPr="009B60EC" w:rsidRDefault="006F3C3D" w:rsidP="006F3C3D">
          <w:pPr>
            <w:pStyle w:val="RCWSLText"/>
          </w:pPr>
          <w:r>
            <w:tab/>
            <w:t xml:space="preserve">(4) </w:t>
          </w:r>
          <w:r>
            <w:rPr>
              <w:u w:val="single"/>
            </w:rPr>
            <w:t xml:space="preserve">Except as provided in </w:t>
          </w:r>
          <w:r w:rsidR="009B60EC">
            <w:rPr>
              <w:u w:val="single"/>
            </w:rPr>
            <w:t>RCW 4.20.020, 4.20.046, 4.20.060, and 4.24.010</w:t>
          </w:r>
          <w:r>
            <w:rPr>
              <w:u w:val="single"/>
            </w:rPr>
            <w:t>, f</w:t>
          </w:r>
          <w:r>
            <w:t>ailure to comply with the requirements of this section shall not constitute negligence by a parent or legal guardian((</w:t>
          </w:r>
          <w:r w:rsidRPr="002C5009">
            <w:rPr>
              <w:strike/>
            </w:rPr>
            <w:t>.</w:t>
          </w:r>
          <w:r>
            <w:t>))</w:t>
          </w:r>
          <w:r>
            <w:rPr>
              <w:u w:val="single"/>
            </w:rPr>
            <w:t>, and f</w:t>
          </w:r>
          <w:r>
            <w:t>ailure to use a child restraint system shall not be admissible as evidence of negligence in any civil action.</w:t>
          </w:r>
        </w:p>
        <w:p w:rsidR="006F3C3D" w:rsidRDefault="006F3C3D" w:rsidP="006F3C3D">
          <w:pPr>
            <w:pStyle w:val="RCWSLText"/>
          </w:pPr>
          <w:r>
            <w:tab/>
            <w:t>(5) This section does not apply to:  (a) For hire vehicles, (b) vehicles designed to transport sixteen or less passengers, including the driver, operated by auto transportation companies, as defined in RCW 81.68.010, (c) vehicles providing customer shuttle service between parking, convention, and hotel facilities, and airport terminals, and (d) school buses.</w:t>
          </w:r>
        </w:p>
        <w:p w:rsidR="006F3C3D" w:rsidRDefault="006F3C3D" w:rsidP="006F3C3D">
          <w:pPr>
            <w:pStyle w:val="RCWSLText"/>
          </w:pPr>
          <w:r>
            <w:tab/>
            <w:t>(6) As used in this section, "child restraint system" means a child passenger restraint system that meets the Federal Motor Vehicle Safety Standards set forth in 49 C.F.R. 571.213.</w:t>
          </w:r>
        </w:p>
        <w:p w:rsidR="006F3C3D" w:rsidRDefault="006F3C3D" w:rsidP="006F3C3D">
          <w:pPr>
            <w:pStyle w:val="RCWSLText"/>
          </w:pPr>
          <w:r>
            <w:tab/>
            <w:t>(7) The requirements of subsection (1) of this section do not apply in any seating position where there is only a lap belt available and the child weighs more than forty pounds.</w:t>
          </w:r>
        </w:p>
        <w:p w:rsidR="006F3C3D" w:rsidRDefault="006F3C3D" w:rsidP="006F3C3D">
          <w:pPr>
            <w:pStyle w:val="RCWSLText"/>
          </w:pPr>
          <w:r>
            <w:tab/>
            <w:t>(8)(a) Except as provided in (b) of this subsection, a person who has a current national certification as a child passenger safety technician and who in good faith provides inspection, adjustment, or educational services regarding child passenger restraint systems is not liable for civil damages resulting from any act or omission in providing the services, other than acts or omissions constituting gross negligence or willful or wanton misconduct.</w:t>
          </w:r>
        </w:p>
        <w:p w:rsidR="006F3C3D" w:rsidRDefault="006F3C3D" w:rsidP="006F3C3D">
          <w:pPr>
            <w:pStyle w:val="RCWSLText"/>
          </w:pPr>
          <w:r>
            <w:tab/>
            <w:t xml:space="preserve">(b) The immunity provided in this subsection does not apply to a certified child passenger safety technician who is employed by a retailer of child passenger restraint systems and who, during his or her hours of employment and while being compensated, provides inspection, adjustment, or educational services regarding child passenger restraint systems. </w:t>
          </w:r>
        </w:p>
        <w:p w:rsidR="006F3C3D" w:rsidRDefault="00961615" w:rsidP="006F3C3D">
          <w:pPr>
            <w:pStyle w:val="BegSec-Amd"/>
          </w:pPr>
          <w:r>
            <w:rPr>
              <w:b/>
            </w:rPr>
            <w:t>Sec. 7</w:t>
          </w:r>
          <w:r w:rsidR="006F3C3D">
            <w:rPr>
              <w:b/>
            </w:rPr>
            <w:t xml:space="preserve">.  </w:t>
          </w:r>
          <w:r w:rsidR="006F3C3D">
            <w:t>RCW 46.61.688 and 2009 c 275 s 8 are each amended to read as follows:</w:t>
          </w:r>
        </w:p>
        <w:p w:rsidR="006F3C3D" w:rsidRDefault="006F3C3D" w:rsidP="006F3C3D">
          <w:pPr>
            <w:pStyle w:val="RCWSLText"/>
          </w:pPr>
          <w:r>
            <w:tab/>
            <w:t>(1) For the purposes of this section, "motor vehicle" includes:</w:t>
          </w:r>
        </w:p>
        <w:p w:rsidR="006F3C3D" w:rsidRDefault="006F3C3D" w:rsidP="006F3C3D">
          <w:pPr>
            <w:pStyle w:val="RCWSLText"/>
          </w:pPr>
          <w:r>
            <w:tab/>
            <w:t>(a) "Buses," meaning motor vehicles with motive power, except trailers, designed to carry more than ten passengers;</w:t>
          </w:r>
        </w:p>
        <w:p w:rsidR="006F3C3D" w:rsidRDefault="006F3C3D" w:rsidP="006F3C3D">
          <w:pPr>
            <w:pStyle w:val="RCWSLText"/>
          </w:pPr>
          <w:r>
            <w:tab/>
            <w:t>(b) "Medium-speed electric vehicle" meaning a self-propelled, electrically powered four-wheeled motor vehicle, equipped with a roll cage or crush-proof body design, whose speed attainable in one mile is more than thirty miles per hour but not more than thirty-five miles per hour and otherwise meets or exceeds the federal regulations set forth in 49 C.F.R. Sec. 571.500;</w:t>
          </w:r>
        </w:p>
        <w:p w:rsidR="006F3C3D" w:rsidRDefault="006F3C3D" w:rsidP="006F3C3D">
          <w:pPr>
            <w:pStyle w:val="RCWSLText"/>
          </w:pPr>
          <w:r>
            <w:tab/>
            <w:t>(c) "Motorcycle," meaning a three</w:t>
          </w:r>
          <w:r>
            <w:noBreakHyphen/>
            <w:t>wheeled motor vehicle that is designed (i) so that the driver rides on a seat in a partially or completely enclosed seating area that is equipped with safety belts and (ii) to be steered with a steering wheel;</w:t>
          </w:r>
        </w:p>
        <w:p w:rsidR="006F3C3D" w:rsidRDefault="006F3C3D" w:rsidP="006F3C3D">
          <w:pPr>
            <w:pStyle w:val="RCWSLText"/>
          </w:pPr>
          <w:r>
            <w:tab/>
            <w:t>(d) "Multipurpose passenger vehicles," meaning motor vehicles with motive power, except trailers, designed to carry ten persons or less that are constructed either on a truck chassis or with special features for occasional off-road operation;</w:t>
          </w:r>
        </w:p>
        <w:p w:rsidR="006F3C3D" w:rsidRDefault="006F3C3D" w:rsidP="006F3C3D">
          <w:pPr>
            <w:pStyle w:val="RCWSLText"/>
          </w:pPr>
          <w:r>
            <w:tab/>
            <w:t>(e) "Neighborhood electric vehicle," meaning a self-propelled, electrically powered four-wheeled motor vehicle whose speed attainable in one mile is more than twenty miles per hour and not more than twenty-five miles per hour and conforms to federal regulations under 49 C.F.R. Sec. 571.500;</w:t>
          </w:r>
        </w:p>
        <w:p w:rsidR="006F3C3D" w:rsidRDefault="006F3C3D" w:rsidP="006F3C3D">
          <w:pPr>
            <w:pStyle w:val="RCWSLText"/>
          </w:pPr>
          <w:r>
            <w:tab/>
            <w:t>(f) "Passenger cars," meaning motor vehicles with motive power, except multipurpose passenger vehicles, motorcycles, or trailers, designed for carrying ten passengers or less; and</w:t>
          </w:r>
        </w:p>
        <w:p w:rsidR="006F3C3D" w:rsidRDefault="006F3C3D" w:rsidP="006F3C3D">
          <w:pPr>
            <w:pStyle w:val="RCWSLText"/>
          </w:pPr>
          <w:r>
            <w:tab/>
            <w:t>(g) "Trucks," meaning motor vehicles with motive power, except trailers, designed primarily for the transportation of property.</w:t>
          </w:r>
        </w:p>
        <w:p w:rsidR="006F3C3D" w:rsidRDefault="006F3C3D" w:rsidP="006F3C3D">
          <w:pPr>
            <w:pStyle w:val="RCWSLText"/>
          </w:pPr>
          <w:r>
            <w:tab/>
            <w:t>(2)(a) This section only applies to:</w:t>
          </w:r>
        </w:p>
        <w:p w:rsidR="006F3C3D" w:rsidRDefault="006F3C3D" w:rsidP="006F3C3D">
          <w:pPr>
            <w:pStyle w:val="RCWSLText"/>
          </w:pPr>
          <w:r>
            <w:tab/>
            <w:t>(i) Motor vehicles that meet the manual seat belt safety standards as set forth in 49 C.F.R. Sec. 571.208;</w:t>
          </w:r>
        </w:p>
        <w:p w:rsidR="006F3C3D" w:rsidRDefault="006F3C3D" w:rsidP="006F3C3D">
          <w:pPr>
            <w:pStyle w:val="RCWSLText"/>
          </w:pPr>
          <w:r>
            <w:tab/>
            <w:t>(ii) Motorcycles, when equipped with safety belts that meet the standards set forth in 49 C.F.R. Part 571; and</w:t>
          </w:r>
        </w:p>
        <w:p w:rsidR="006F3C3D" w:rsidRDefault="006F3C3D" w:rsidP="006F3C3D">
          <w:pPr>
            <w:pStyle w:val="RCWSLText"/>
          </w:pPr>
          <w:r>
            <w:tab/>
            <w:t>(iii) Neighborhood electric vehicles and medium-speed electric vehicles that meet the seat belt standards as set forth in 49 C.F.R. Sec. 571.500.</w:t>
          </w:r>
        </w:p>
        <w:p w:rsidR="006F3C3D" w:rsidRDefault="006F3C3D" w:rsidP="006F3C3D">
          <w:pPr>
            <w:pStyle w:val="RCWSLText"/>
          </w:pPr>
          <w:r>
            <w:tab/>
            <w:t>(b) This section does not apply to a vehicle occupant for whom no safety belt is available when all designated seating positions as required under 49 C.F.R. Part 571 are occupied.</w:t>
          </w:r>
        </w:p>
        <w:p w:rsidR="006F3C3D" w:rsidRDefault="006F3C3D" w:rsidP="006F3C3D">
          <w:pPr>
            <w:pStyle w:val="RCWSLText"/>
          </w:pPr>
          <w:r>
            <w:tab/>
            <w:t>(3) Every person sixteen years of age or older operating or riding in a motor vehicle shall wear the safety belt assembly in a properly adjusted and securely fastened manner.</w:t>
          </w:r>
        </w:p>
        <w:p w:rsidR="006F3C3D" w:rsidRDefault="006F3C3D" w:rsidP="006F3C3D">
          <w:pPr>
            <w:pStyle w:val="RCWSLText"/>
          </w:pPr>
          <w:r>
            <w:tab/>
            <w:t>(4) No person may operate a motor vehicle unless all child passengers under the age of sixteen years are either:  (a) Wearing a safety belt assembly or (b) are securely fastened into an approved child restraint device.</w:t>
          </w:r>
        </w:p>
        <w:p w:rsidR="006F3C3D" w:rsidRDefault="006F3C3D" w:rsidP="006F3C3D">
          <w:pPr>
            <w:pStyle w:val="RCWSLText"/>
          </w:pPr>
          <w:r>
            <w:tab/>
            <w:t>(5) A person violating this section shall be issued a notice of traffic infraction under chapter 46.63 RCW.  A finding that a person has committed a traffic infraction under this section shall be contained in the driver's abstract but shall not be available to insurance companies or employers.</w:t>
          </w:r>
        </w:p>
        <w:p w:rsidR="006F3C3D" w:rsidRDefault="006F3C3D" w:rsidP="006F3C3D">
          <w:pPr>
            <w:pStyle w:val="RCWSLText"/>
          </w:pPr>
          <w:r>
            <w:tab/>
            <w:t xml:space="preserve">(6) </w:t>
          </w:r>
          <w:r>
            <w:rPr>
              <w:u w:val="single"/>
            </w:rPr>
            <w:t xml:space="preserve">Except as provided in </w:t>
          </w:r>
          <w:r w:rsidR="00961615">
            <w:rPr>
              <w:u w:val="single"/>
            </w:rPr>
            <w:t>RCW 4.20.020, 4.20.046, 4.20.060, and 4.24.010,</w:t>
          </w:r>
          <w:r>
            <w:rPr>
              <w:u w:val="single"/>
            </w:rPr>
            <w:t xml:space="preserve"> f</w:t>
          </w:r>
          <w:r>
            <w:t>ailure to comply with the requirements of this section does not constitute negligence, nor may failure to wear a safety belt assembly be admissible as evidence of negligence in any civil action.</w:t>
          </w:r>
        </w:p>
        <w:p w:rsidR="006F3C3D" w:rsidRDefault="006F3C3D" w:rsidP="006F3C3D">
          <w:pPr>
            <w:pStyle w:val="RCWSLText"/>
          </w:pPr>
          <w:r>
            <w:tab/>
            <w:t>(7) This section does not apply to an operator or passenger who possesses written verification from a licensed physician that the operator or passenger is unable to wear a safety belt for physical or medical reasons.</w:t>
          </w:r>
        </w:p>
        <w:p w:rsidR="006F3C3D" w:rsidRDefault="006F3C3D" w:rsidP="006F3C3D">
          <w:pPr>
            <w:pStyle w:val="RCWSLText"/>
          </w:pPr>
          <w:r>
            <w:tab/>
            <w:t>(8) The state patrol may adopt rules exempting operators or occupants of farm vehicles, construction equipment, and vehicles that are required to make frequent stops from the requirement of wearing safety belts."</w:t>
          </w:r>
        </w:p>
        <w:p w:rsidR="006F3C3D" w:rsidRDefault="006F3C3D" w:rsidP="006F3C3D">
          <w:pPr>
            <w:pStyle w:val="RCWSLText"/>
          </w:pPr>
        </w:p>
        <w:p w:rsidR="006F3C3D" w:rsidRPr="006F3C3D" w:rsidRDefault="006F3C3D" w:rsidP="006F3C3D">
          <w:pPr>
            <w:pStyle w:val="RCWSLText"/>
          </w:pPr>
          <w:r>
            <w:tab/>
            <w:t xml:space="preserve">Renumber the remaining sections consecutively and correct internal references accordingly.  </w:t>
          </w:r>
        </w:p>
        <w:p w:rsidR="00152868" w:rsidRDefault="00152868" w:rsidP="00152868">
          <w:pPr>
            <w:pStyle w:val="Page"/>
          </w:pPr>
        </w:p>
        <w:p w:rsidR="00ED2EEB" w:rsidRDefault="00DE256E" w:rsidP="002D1695">
          <w:pPr>
            <w:pStyle w:val="RCWSLText"/>
            <w:suppressLineNumbers/>
          </w:pPr>
          <w:r>
            <w:tab/>
          </w:r>
        </w:p>
      </w:customXml>
      <w:customXml w:element="Effect">
        <w:p w:rsidR="00DF5D0E" w:rsidRPr="00F5002A" w:rsidRDefault="00ED2EEB" w:rsidP="0035699D">
          <w:pPr>
            <w:pStyle w:val="Effect"/>
            <w:suppressLineNumbers/>
          </w:pPr>
          <w:r>
            <w:tab/>
          </w:r>
          <w:r w:rsidR="00DE256E">
            <w:tab/>
          </w:r>
          <w:r w:rsidR="00DE256E" w:rsidRPr="00F5002A">
            <w:rPr>
              <w:b/>
              <w:u w:val="single"/>
            </w:rPr>
            <w:t>EFFECT:</w:t>
          </w:r>
          <w:r w:rsidR="00DE256E">
            <w:t>   </w:t>
          </w:r>
          <w:r w:rsidR="002D1695">
            <w:t xml:space="preserve">Provides that in a wrongful death or survival action based on a parent's significant involvement in a child's life, </w:t>
          </w:r>
          <w:r w:rsidR="00961615">
            <w:t xml:space="preserve">joint and several liability does not apply if it is established that </w:t>
          </w:r>
          <w:r w:rsidR="003E0697">
            <w:t xml:space="preserve">either of the following contributed to the death of the decedent:  </w:t>
          </w:r>
          <w:r w:rsidR="00961615">
            <w:t>t</w:t>
          </w:r>
          <w:r w:rsidR="002D1695">
            <w:t>he failure of a parent to comply with child passenger restraint requirements</w:t>
          </w:r>
          <w:r w:rsidR="003E0697">
            <w:t>;</w:t>
          </w:r>
          <w:r w:rsidR="002D1695">
            <w:t xml:space="preserve"> </w:t>
          </w:r>
          <w:r w:rsidR="00961615">
            <w:t>or</w:t>
          </w:r>
          <w:r w:rsidR="002D1695">
            <w:t xml:space="preserve"> the failure of </w:t>
          </w:r>
          <w:r w:rsidR="00961615">
            <w:t>the decedent</w:t>
          </w:r>
          <w:r w:rsidR="002D1695">
            <w:t xml:space="preserve"> to wear a safety belt assembly.</w:t>
          </w:r>
        </w:p>
      </w:customXml>
      <w:permEnd w:id="0"/>
      <w:p w:rsidR="00DF5D0E" w:rsidRDefault="00DF5D0E" w:rsidP="00F5002A">
        <w:pPr>
          <w:pStyle w:val="AmendSectionPostSpace"/>
          <w:suppressLineNumbers/>
        </w:pPr>
      </w:p>
      <w:p w:rsidR="00DF5D0E" w:rsidRDefault="00DF5D0E" w:rsidP="00F5002A">
        <w:pPr>
          <w:pStyle w:val="BillEnd"/>
          <w:suppressLineNumbers/>
        </w:pPr>
      </w:p>
      <w:p w:rsidR="00DF5D0E" w:rsidRDefault="00DE256E" w:rsidP="00F5002A">
        <w:pPr>
          <w:pStyle w:val="BillEnd"/>
          <w:suppressLineNumbers/>
        </w:pPr>
        <w:r>
          <w:rPr>
            <w:b/>
          </w:rPr>
          <w:t>--- END ---</w:t>
        </w:r>
      </w:p>
      <w:p w:rsidR="00DF5D0E" w:rsidRDefault="00AD3573" w:rsidP="00F5002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02A" w:rsidRDefault="00F5002A" w:rsidP="00DF5D0E">
      <w:r>
        <w:separator/>
      </w:r>
    </w:p>
  </w:endnote>
  <w:endnote w:type="continuationSeparator" w:id="0">
    <w:p w:rsidR="00F5002A" w:rsidRDefault="00F5002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80" w:rsidRDefault="007D73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D3573">
    <w:pPr>
      <w:pStyle w:val="AmendDraftFooter"/>
    </w:pPr>
    <w:fldSimple w:instr=" TITLE   \* MERGEFORMAT ">
      <w:r w:rsidR="004C3F0E">
        <w:t>6508-S.E2 AMH .... ADAM 140</w:t>
      </w:r>
    </w:fldSimple>
    <w:r w:rsidR="00DE256E">
      <w:tab/>
    </w:r>
    <w:r>
      <w:fldChar w:fldCharType="begin"/>
    </w:r>
    <w:r w:rsidR="00DE256E">
      <w:instrText xml:space="preserve"> PAGE  \* Arabic  \* MERGEFORMAT </w:instrText>
    </w:r>
    <w:r>
      <w:fldChar w:fldCharType="separate"/>
    </w:r>
    <w:r w:rsidR="004C3F0E">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D3573">
    <w:pPr>
      <w:pStyle w:val="AmendDraftFooter"/>
    </w:pPr>
    <w:fldSimple w:instr=" TITLE   \* MERGEFORMAT ">
      <w:r w:rsidR="004C3F0E">
        <w:t>6508-S.E2 AMH .... ADAM 140</w:t>
      </w:r>
    </w:fldSimple>
    <w:r w:rsidR="00DE256E">
      <w:tab/>
    </w:r>
    <w:r>
      <w:fldChar w:fldCharType="begin"/>
    </w:r>
    <w:r w:rsidR="00DE256E">
      <w:instrText xml:space="preserve"> PAGE  \* Arabic  \* MERGEFORMAT </w:instrText>
    </w:r>
    <w:r>
      <w:fldChar w:fldCharType="separate"/>
    </w:r>
    <w:r w:rsidR="004C3F0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02A" w:rsidRDefault="00F5002A" w:rsidP="00DF5D0E">
      <w:r>
        <w:separator/>
      </w:r>
    </w:p>
  </w:footnote>
  <w:footnote w:type="continuationSeparator" w:id="0">
    <w:p w:rsidR="00F5002A" w:rsidRDefault="00F5002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80" w:rsidRDefault="007D73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D357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AD357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25A8"/>
    <w:rsid w:val="000E603A"/>
    <w:rsid w:val="00106544"/>
    <w:rsid w:val="001308D8"/>
    <w:rsid w:val="00152868"/>
    <w:rsid w:val="001A775A"/>
    <w:rsid w:val="001E2134"/>
    <w:rsid w:val="001E6675"/>
    <w:rsid w:val="00217E8A"/>
    <w:rsid w:val="00281CBD"/>
    <w:rsid w:val="002863A2"/>
    <w:rsid w:val="002A7A2C"/>
    <w:rsid w:val="002D1695"/>
    <w:rsid w:val="00316CD9"/>
    <w:rsid w:val="0035699D"/>
    <w:rsid w:val="003E0697"/>
    <w:rsid w:val="003E2FC6"/>
    <w:rsid w:val="00492DDC"/>
    <w:rsid w:val="004C3F0E"/>
    <w:rsid w:val="00523C5A"/>
    <w:rsid w:val="00605C39"/>
    <w:rsid w:val="006841E6"/>
    <w:rsid w:val="006F3C3D"/>
    <w:rsid w:val="006F7027"/>
    <w:rsid w:val="0072335D"/>
    <w:rsid w:val="0072541D"/>
    <w:rsid w:val="007D35D4"/>
    <w:rsid w:val="007D7380"/>
    <w:rsid w:val="00846034"/>
    <w:rsid w:val="00931B84"/>
    <w:rsid w:val="00942B34"/>
    <w:rsid w:val="00961615"/>
    <w:rsid w:val="00972869"/>
    <w:rsid w:val="009B60EC"/>
    <w:rsid w:val="009F23A9"/>
    <w:rsid w:val="00A01F29"/>
    <w:rsid w:val="00A93D4A"/>
    <w:rsid w:val="00AD2D0A"/>
    <w:rsid w:val="00AD3573"/>
    <w:rsid w:val="00B31D1C"/>
    <w:rsid w:val="00B37B86"/>
    <w:rsid w:val="00B47240"/>
    <w:rsid w:val="00B518D0"/>
    <w:rsid w:val="00B73E0A"/>
    <w:rsid w:val="00B90464"/>
    <w:rsid w:val="00B961E0"/>
    <w:rsid w:val="00CE4023"/>
    <w:rsid w:val="00D40447"/>
    <w:rsid w:val="00DA47F3"/>
    <w:rsid w:val="00DE256E"/>
    <w:rsid w:val="00DF5D0E"/>
    <w:rsid w:val="00E1471A"/>
    <w:rsid w:val="00E41CC6"/>
    <w:rsid w:val="00E56FA9"/>
    <w:rsid w:val="00E66F5D"/>
    <w:rsid w:val="00E73FAE"/>
    <w:rsid w:val="00EB1B5E"/>
    <w:rsid w:val="00ED2EEB"/>
    <w:rsid w:val="00F229DE"/>
    <w:rsid w:val="00F4663F"/>
    <w:rsid w:val="00F5002A"/>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45</TotalTime>
  <Pages>3</Pages>
  <Words>2144</Words>
  <Characters>11107</Characters>
  <Application>Microsoft Office Word</Application>
  <DocSecurity>8</DocSecurity>
  <Lines>241</Lines>
  <Paragraphs>66</Paragraphs>
  <ScaleCrop>false</ScaleCrop>
  <HeadingPairs>
    <vt:vector size="2" baseType="variant">
      <vt:variant>
        <vt:lpstr>Title</vt:lpstr>
      </vt:variant>
      <vt:variant>
        <vt:i4>1</vt:i4>
      </vt:variant>
    </vt:vector>
  </HeadingPairs>
  <TitlesOfParts>
    <vt:vector size="1" baseType="lpstr">
      <vt:lpstr>6508-S.E2 AMH .... ADAM 140</vt:lpstr>
    </vt:vector>
  </TitlesOfParts>
  <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6508-S.E2 AMH .... ADAM 140</dc:title>
  <dc:subject/>
  <dc:creator>Washington State Legislature</dc:creator>
  <cp:keywords/>
  <dc:description/>
  <cp:lastModifiedBy>Washington State Legislature</cp:lastModifiedBy>
  <cp:revision>16</cp:revision>
  <cp:lastPrinted>2010-03-04T04:02:00Z</cp:lastPrinted>
  <dcterms:created xsi:type="dcterms:W3CDTF">2010-03-03T23:27:00Z</dcterms:created>
  <dcterms:modified xsi:type="dcterms:W3CDTF">2010-03-04T04:02:00Z</dcterms:modified>
</cp:coreProperties>
</file>