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7294" w:rsidP="0072541D">
          <w:pPr>
            <w:pStyle w:val="AmendDocName"/>
          </w:pPr>
          <w:customXml w:element="BillDocName">
            <w:r>
              <w:t xml:space="preserve">6130-S</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532</w:t>
            </w:r>
          </w:customXml>
        </w:p>
      </w:customXml>
      <w:customXml w:element="Heading">
        <w:p w:rsidR="00DF5D0E" w:rsidRDefault="000C7294">
          <w:customXml w:element="ReferenceNumber">
            <w:r w:rsidR="00307E6A">
              <w:rPr>
                <w:b/>
                <w:u w:val="single"/>
              </w:rPr>
              <w:t>SSB 6130</w:t>
            </w:r>
            <w:r w:rsidR="00DE256E">
              <w:t xml:space="preserve"> - </w:t>
            </w:r>
          </w:customXml>
          <w:customXml w:element="Floor">
            <w:r w:rsidR="00307E6A">
              <w:t>S AMD TO S4832.1</w:t>
            </w:r>
          </w:customXml>
          <w:customXml w:element="AmendNumber">
            <w:r>
              <w:rPr>
                <w:b/>
              </w:rPr>
              <w:t xml:space="preserve"> 74</w:t>
            </w:r>
          </w:customXml>
        </w:p>
        <w:p w:rsidR="00DF5D0E" w:rsidRDefault="000C7294" w:rsidP="00605C39">
          <w:pPr>
            <w:ind w:firstLine="576"/>
          </w:pPr>
          <w:customXml w:element="Sponsors">
            <w:r>
              <w:t xml:space="preserve">By Senators Benton, Holmquist, Morton, Stevens, Parlette, Schoesler, King, Roach, Pflug, Becker, Carrell, Delvin, Hewitt, Honeyford and Swecker</w:t>
            </w:r>
          </w:customXml>
        </w:p>
        <w:p w:rsidR="00DF5D0E" w:rsidRDefault="000C7294" w:rsidP="00846034">
          <w:pPr>
            <w:spacing w:line="408" w:lineRule="exact"/>
            <w:jc w:val="right"/>
            <w:rPr>
              <w:b/>
              <w:bCs/>
            </w:rPr>
          </w:pPr>
          <w:customXml w:element="FloorAction">
            <w:r>
              <w:t xml:space="preserve">NOT ADOPTED 2/10/2010</w:t>
            </w:r>
          </w:customXml>
        </w:p>
      </w:customXml>
      <w:permStart w:id="0" w:edGrp="everyone" w:displacedByCustomXml="next"/>
      <w:customXml w:element="Page">
        <w:p w:rsidR="00DF45B7" w:rsidRDefault="000C729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7E6A">
            <w:t xml:space="preserve">On page </w:t>
          </w:r>
          <w:r w:rsidR="00DF45B7">
            <w:t>5</w:t>
          </w:r>
          <w:r w:rsidR="00307E6A">
            <w:t xml:space="preserve">, </w:t>
          </w:r>
          <w:r w:rsidR="00DF45B7">
            <w:t xml:space="preserve">after </w:t>
          </w:r>
          <w:r w:rsidR="00307E6A">
            <w:t xml:space="preserve">line </w:t>
          </w:r>
          <w:r w:rsidR="00DF45B7">
            <w:t>30</w:t>
          </w:r>
          <w:r w:rsidR="00307E6A">
            <w:t>, insert</w:t>
          </w:r>
          <w:r w:rsidR="00DF45B7">
            <w:t xml:space="preserve"> the following:</w:t>
          </w:r>
        </w:p>
        <w:p w:rsidR="00DF45B7" w:rsidRDefault="00DF45B7" w:rsidP="00DF45B7">
          <w:pPr>
            <w:pStyle w:val="BegSec-Amd"/>
          </w:pPr>
          <w:r>
            <w:rPr>
              <w:b/>
            </w:rPr>
            <w:t xml:space="preserve">"Sec. </w:t>
          </w:r>
          <w:r>
            <w:rPr>
              <w:b/>
            </w:rPr>
            <w:fldChar w:fldCharType="begin"/>
          </w:r>
          <w:r>
            <w:rPr>
              <w:b/>
            </w:rPr>
            <w:instrText xml:space="preserve"> LISTNUM  LegalDefault \s 5  </w:instrText>
          </w:r>
          <w:r>
            <w:rPr>
              <w:b/>
            </w:rPr>
            <w:fldChar w:fldCharType="end"/>
          </w:r>
          <w:r>
            <w:rPr>
              <w:b/>
            </w:rPr>
            <w:t xml:space="preserve">  </w:t>
          </w:r>
          <w:r>
            <w:t xml:space="preserve">RCW 29A.32.070 and 2009 c 415 s 5 </w:t>
          </w:r>
          <w:proofErr w:type="gramStart"/>
          <w:r>
            <w:t>are</w:t>
          </w:r>
          <w:proofErr w:type="gramEnd"/>
          <w:r>
            <w:t xml:space="preserve"> each amended to read as follows:</w:t>
          </w:r>
        </w:p>
        <w:p w:rsidR="00DF45B7" w:rsidRDefault="00DF45B7" w:rsidP="00DF45B7">
          <w:pPr>
            <w:pStyle w:val="RCWSLText"/>
          </w:pPr>
          <w:r>
            <w:tab/>
            <w:t>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rsidR="00DF45B7" w:rsidRDefault="00DF45B7" w:rsidP="00DF45B7">
          <w:pPr>
            <w:pStyle w:val="RCWSLText"/>
          </w:pPr>
          <w:r>
            <w:tab/>
            <w:t>The voters' pamphlet must provide the following information for each statewide issue on the ballot except measures for an advisory vote of the people whose requirements are provided in subsection (11) of this section:</w:t>
          </w:r>
        </w:p>
        <w:p w:rsidR="00DF45B7" w:rsidRDefault="00DF45B7" w:rsidP="00DF45B7">
          <w:pPr>
            <w:pStyle w:val="RCWSLText"/>
          </w:pPr>
          <w:r>
            <w:tab/>
            <w:t>(1) The legal identification of the measure by serial designation or number;</w:t>
          </w:r>
        </w:p>
        <w:p w:rsidR="00DF45B7" w:rsidRDefault="00DF45B7" w:rsidP="00DF45B7">
          <w:pPr>
            <w:pStyle w:val="RCWSLText"/>
          </w:pPr>
          <w:r>
            <w:tab/>
            <w:t>(2) The official ballot title of the measure;</w:t>
          </w:r>
        </w:p>
        <w:p w:rsidR="00DF45B7" w:rsidRDefault="00DF45B7" w:rsidP="00DF45B7">
          <w:pPr>
            <w:pStyle w:val="RCWSLText"/>
          </w:pPr>
          <w:r>
            <w:tab/>
            <w:t>(3) A statement prepared by the attorney general explaining the law as it presently exists;</w:t>
          </w:r>
        </w:p>
        <w:p w:rsidR="00DF45B7" w:rsidRDefault="00DF45B7" w:rsidP="00DF45B7">
          <w:pPr>
            <w:pStyle w:val="RCWSLText"/>
          </w:pPr>
          <w:r>
            <w:tab/>
            <w:t>(4) A statement prepared by the attorney general explaining the effect of the proposed measure if it becomes law;</w:t>
          </w:r>
        </w:p>
        <w:p w:rsidR="00DF45B7" w:rsidRDefault="00DF45B7" w:rsidP="00DF45B7">
          <w:pPr>
            <w:pStyle w:val="RCWSLText"/>
          </w:pPr>
          <w:r>
            <w:tab/>
            <w:t>(5) The fiscal impact statement prepared under RCW 29A.72.025;</w:t>
          </w:r>
        </w:p>
        <w:p w:rsidR="00DF45B7" w:rsidRDefault="00DF45B7" w:rsidP="00DF45B7">
          <w:pPr>
            <w:pStyle w:val="RCWSLText"/>
          </w:pPr>
          <w:r>
            <w:tab/>
            <w:t xml:space="preserve">(6) The total number of votes cast for and against the measure in the senate and </w:t>
          </w:r>
          <w:proofErr w:type="gramStart"/>
          <w:r>
            <w:t>house of representatives</w:t>
          </w:r>
          <w:proofErr w:type="gramEnd"/>
          <w:r>
            <w:t>, if the measure has been passed by the legislature;</w:t>
          </w:r>
        </w:p>
        <w:p w:rsidR="00DF45B7" w:rsidRDefault="00DF45B7" w:rsidP="00DF45B7">
          <w:pPr>
            <w:pStyle w:val="RCWSLText"/>
          </w:pPr>
          <w:r>
            <w:tab/>
            <w:t>(7) An argument advocating the voters' approval of the measure together with any statement in rebuttal of the opposing argument;</w:t>
          </w:r>
        </w:p>
        <w:p w:rsidR="00DF45B7" w:rsidRDefault="00DF45B7" w:rsidP="00DF45B7">
          <w:pPr>
            <w:pStyle w:val="RCWSLText"/>
          </w:pPr>
          <w:r>
            <w:tab/>
            <w:t>(8) An argument advocating the voters' rejection of the measure together with any statement in rebuttal of the opposing argument;</w:t>
          </w:r>
        </w:p>
        <w:p w:rsidR="00DF45B7" w:rsidRDefault="00DF45B7" w:rsidP="00DF45B7">
          <w:pPr>
            <w:pStyle w:val="RCWSLText"/>
          </w:pPr>
          <w:r>
            <w:tab/>
            <w:t>(9) Each argument or rebuttal statement must be followed by the names of the committee members who submitted them, and may be followed by a telephone number that citizens may call to obtain information on the ballot measure;</w:t>
          </w:r>
        </w:p>
        <w:p w:rsidR="00DF45B7" w:rsidRDefault="00DF45B7" w:rsidP="00DF45B7">
          <w:pPr>
            <w:pStyle w:val="RCWSLText"/>
          </w:pPr>
          <w:r>
            <w:tab/>
            <w:t>(10) The full text of *the measure;</w:t>
          </w:r>
        </w:p>
        <w:p w:rsidR="00DF45B7" w:rsidRDefault="00DF45B7" w:rsidP="00DF45B7">
          <w:pPr>
            <w:pStyle w:val="RCWSLText"/>
          </w:pPr>
          <w:r>
            <w:tab/>
            <w:t>(11) Two pages shall be provided in the general election voters' pamphlet for each ((</w:t>
          </w:r>
          <w:r w:rsidRPr="00DF45B7">
            <w:rPr>
              <w:strike/>
            </w:rPr>
            <w:t>measure for an advisory vote of the people under RCW 43.135.041</w:t>
          </w:r>
          <w:r>
            <w:t xml:space="preserve">)) </w:t>
          </w:r>
          <w:r>
            <w:rPr>
              <w:u w:val="single"/>
            </w:rPr>
            <w:t>legislative action raising taxes as defined by RCW 43.135.</w:t>
          </w:r>
          <w:r w:rsidRPr="00DF45B7">
            <w:rPr>
              <w:u w:val="single"/>
            </w:rPr>
            <w:t>035</w:t>
          </w:r>
          <w:r w:rsidRPr="00DF45B7">
            <w:t xml:space="preserve"> and</w:t>
          </w:r>
          <w:r>
            <w:t xml:space="preserve"> shall consist of ((</w:t>
          </w:r>
          <w:r w:rsidRPr="00DF45B7">
            <w:rPr>
              <w:strike/>
            </w:rPr>
            <w:t>the serial number assigned by the secretary of state under RCW 29A.72.040, the</w:t>
          </w:r>
          <w:r>
            <w:t xml:space="preserve">)) </w:t>
          </w:r>
          <w:r w:rsidRPr="00DF45B7">
            <w:rPr>
              <w:u w:val="single"/>
            </w:rPr>
            <w:t>a</w:t>
          </w:r>
          <w:r>
            <w:t xml:space="preserve"> </w:t>
          </w:r>
          <w:r w:rsidRPr="00DF45B7">
            <w:t>short</w:t>
          </w:r>
          <w:r>
            <w:t xml:space="preserve"> description formulated by the attorney general ((</w:t>
          </w:r>
          <w:r w:rsidRPr="00DF45B7">
            <w:rPr>
              <w:strike/>
            </w:rPr>
            <w:t>under RCW 29A.72.283</w:t>
          </w:r>
          <w:r>
            <w:t xml:space="preserve">)), the tax increase's most </w:t>
          </w:r>
          <w:proofErr w:type="spellStart"/>
          <w:r>
            <w:t>up</w:t>
          </w:r>
          <w:r>
            <w:noBreakHyphen/>
            <w:t>to</w:t>
          </w:r>
          <w:r>
            <w:noBreakHyphen/>
            <w:t>date</w:t>
          </w:r>
          <w:proofErr w:type="spellEnd"/>
          <w:r>
            <w:t xml:space="preserve"> </w:t>
          </w:r>
          <w:proofErr w:type="spellStart"/>
          <w:r>
            <w:t>ten</w:t>
          </w:r>
          <w:r>
            <w:noBreakHyphen/>
            <w:t>year</w:t>
          </w:r>
          <w:proofErr w:type="spellEnd"/>
          <w:r>
            <w:t xml:space="preserve"> cost projection, including a </w:t>
          </w:r>
          <w:proofErr w:type="spellStart"/>
          <w:r>
            <w:t>year</w:t>
          </w:r>
          <w:r>
            <w:noBreakHyphen/>
            <w:t>by</w:t>
          </w:r>
          <w:r>
            <w:noBreakHyphen/>
            <w:t>year</w:t>
          </w:r>
          <w:proofErr w:type="spellEnd"/>
          <w:r>
            <w:t xml:space="preserve">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rsidR="00307E6A" w:rsidRDefault="00307E6A" w:rsidP="00307E6A">
          <w:pPr>
            <w:pStyle w:val="RCWSLText"/>
          </w:pPr>
          <w:bookmarkStart w:id="1" w:name="History"/>
          <w:bookmarkStart w:id="2" w:name="NotesSection"/>
          <w:bookmarkEnd w:id="1"/>
          <w:bookmarkEnd w:id="2"/>
        </w:p>
        <w:p w:rsidR="00307E6A" w:rsidRDefault="00307E6A" w:rsidP="00307E6A">
          <w:pPr>
            <w:pStyle w:val="RCWSLText"/>
          </w:pPr>
          <w:r>
            <w:lastRenderedPageBreak/>
            <w:tab/>
            <w:t>Renumber the sections consecutively and correct any internal references accordingly.</w:t>
          </w:r>
        </w:p>
        <w:p w:rsidR="00DF45B7" w:rsidRDefault="00DF45B7" w:rsidP="00307E6A">
          <w:pPr>
            <w:pStyle w:val="RCWSLText"/>
          </w:pPr>
        </w:p>
        <w:p w:rsidR="00DF45B7" w:rsidRPr="00DF45B7" w:rsidRDefault="00DF45B7" w:rsidP="00DF45B7">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Section 5 of this act expires July 1, 2011.</w:t>
          </w:r>
        </w:p>
        <w:p w:rsidR="00307E6A" w:rsidRDefault="00307E6A" w:rsidP="00307E6A">
          <w:pPr>
            <w:pStyle w:val="RCWSLText"/>
          </w:pPr>
        </w:p>
        <w:permEnd w:id="0" w:displacedByCustomXml="next"/>
        <w:customXml w:element="Heading">
          <w:p w:rsidR="00307E6A" w:rsidRDefault="00307E6A" w:rsidP="00307E6A">
            <w:pPr>
              <w:spacing w:line="408" w:lineRule="exact"/>
            </w:pPr>
            <w:customXml w:element="ReferenceNumber">
              <w:r>
                <w:rPr>
                  <w:b/>
                  <w:u w:val="single"/>
                </w:rPr>
                <w:t>SSB 6130</w:t>
              </w:r>
              <w:r>
                <w:t xml:space="preserve"> - </w:t>
              </w:r>
            </w:customXml>
            <w:customXml w:element="Floor">
              <w:r>
                <w:t>S AMD TO S4832.1</w:t>
              </w:r>
            </w:customXml>
            <w:customXml w:element="AmendNumber">
              <w:r>
                <w:rPr>
                  <w:b/>
                </w:rPr>
                <w:t xml:space="preserve"> 74</w:t>
              </w:r>
            </w:customXml>
          </w:p>
          <w:p w:rsidR="00307E6A" w:rsidRDefault="00307E6A" w:rsidP="00307E6A">
            <w:pPr>
              <w:spacing w:line="408" w:lineRule="exact"/>
              <w:ind w:firstLine="576"/>
            </w:pPr>
            <w:customXml w:element="Sponsors">
              <w:r>
                <w:t xml:space="preserve">By Senators Benton, Holmquist, Morton, Stevens, Parlette, Schoesler, King, Roach, Pflug, Becker, Carrell, Delvin, Hewitt, Honeyford and Swecker</w:t>
              </w:r>
            </w:customXml>
          </w:p>
          <w:p w:rsidR="00307E6A" w:rsidRDefault="00307E6A" w:rsidP="00307E6A">
            <w:pPr>
              <w:spacing w:line="408" w:lineRule="exact"/>
              <w:jc w:val="right"/>
            </w:pPr>
            <w:customXml w:element="FloorAction">
              <w:r>
                <w:t xml:space="preserve">NOT ADOPTED 2/10/2010</w:t>
              </w:r>
            </w:customXml>
          </w:p>
        </w:customXml>
        <w:p w:rsidR="00DF5D0E" w:rsidRPr="00523C5A" w:rsidRDefault="00307E6A" w:rsidP="00307E6A">
          <w:pPr>
            <w:pStyle w:val="RCWSLText"/>
          </w:pPr>
          <w:permStart w:id="1" w:edGrp="everyone"/>
          <w:r>
            <w:tab/>
            <w:t xml:space="preserve">On page </w:t>
          </w:r>
          <w:r w:rsidR="00DF45B7">
            <w:t>6</w:t>
          </w:r>
          <w:r>
            <w:t xml:space="preserve">, line </w:t>
          </w:r>
          <w:r w:rsidR="00DF45B7">
            <w:t>3</w:t>
          </w:r>
          <w:r>
            <w:t xml:space="preserve"> of the title</w:t>
          </w:r>
          <w:r w:rsidR="00DF45B7">
            <w:t xml:space="preserve"> amendment</w:t>
          </w:r>
          <w:r>
            <w:t>, after "</w:t>
          </w:r>
          <w:r w:rsidR="00DF45B7">
            <w:t>amending RCW</w:t>
          </w:r>
          <w:r>
            <w:t>", insert "</w:t>
          </w:r>
          <w:r w:rsidR="00DF45B7">
            <w:t>29A.32.070</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DF45B7">
            <w:t>Retains the provision requiring notice to voters in the voters' pamphlet regarding actions by the legislature that raise taxes.</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C729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6A" w:rsidRDefault="00307E6A" w:rsidP="00DF5D0E">
      <w:r>
        <w:separator/>
      </w:r>
    </w:p>
  </w:endnote>
  <w:endnote w:type="continuationSeparator" w:id="0">
    <w:p w:rsidR="00307E6A" w:rsidRDefault="00307E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7294">
    <w:pPr>
      <w:pStyle w:val="AmendDraftFooter"/>
    </w:pPr>
    <w:fldSimple w:instr=" TITLE   \* MERGEFORMAT ">
      <w:r w:rsidR="00487A6E">
        <w:t>6130-S AMS .... GORR 532</w:t>
      </w:r>
    </w:fldSimple>
    <w:r w:rsidR="00DE256E">
      <w:tab/>
    </w:r>
    <w:r>
      <w:fldChar w:fldCharType="begin"/>
    </w:r>
    <w:r w:rsidR="00DE256E">
      <w:instrText xml:space="preserve"> PAGE  \* Arabic  \* MERGEFORMAT </w:instrText>
    </w:r>
    <w:r>
      <w:fldChar w:fldCharType="separate"/>
    </w:r>
    <w:r w:rsidR="00487A6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7294">
    <w:pPr>
      <w:pStyle w:val="AmendDraftFooter"/>
    </w:pPr>
    <w:fldSimple w:instr=" TITLE   \* MERGEFORMAT ">
      <w:r w:rsidR="00487A6E">
        <w:t>6130-S AMS .... GORR 532</w:t>
      </w:r>
    </w:fldSimple>
    <w:r w:rsidR="00DE256E">
      <w:tab/>
    </w:r>
    <w:r>
      <w:fldChar w:fldCharType="begin"/>
    </w:r>
    <w:r w:rsidR="00DE256E">
      <w:instrText xml:space="preserve"> PAGE  \* Arabic  \* MERGEFORMAT </w:instrText>
    </w:r>
    <w:r>
      <w:fldChar w:fldCharType="separate"/>
    </w:r>
    <w:r w:rsidR="00487A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6A" w:rsidRDefault="00307E6A" w:rsidP="00DF5D0E">
      <w:r>
        <w:separator/>
      </w:r>
    </w:p>
  </w:footnote>
  <w:footnote w:type="continuationSeparator" w:id="0">
    <w:p w:rsidR="00307E6A" w:rsidRDefault="00307E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729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C729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C7294"/>
    <w:rsid w:val="000E603A"/>
    <w:rsid w:val="00106544"/>
    <w:rsid w:val="001A775A"/>
    <w:rsid w:val="001E6675"/>
    <w:rsid w:val="00217E8A"/>
    <w:rsid w:val="00281CBD"/>
    <w:rsid w:val="00307E6A"/>
    <w:rsid w:val="00316CD9"/>
    <w:rsid w:val="003E2FC6"/>
    <w:rsid w:val="00487A6E"/>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45B7"/>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627</Words>
  <Characters>2950</Characters>
  <Application>Microsoft Office Word</Application>
  <DocSecurity>8</DocSecurity>
  <Lines>184</Lines>
  <Paragraphs>96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6130-S AMS BENT GORR 532</dc:title>
  <dc:subject/>
  <dc:creator>Washington State Legislature</dc:creator>
  <cp:keywords/>
  <dc:description/>
  <cp:lastModifiedBy>Washington State Legislature</cp:lastModifiedBy>
  <cp:revision>3</cp:revision>
  <cp:lastPrinted>2010-02-11T04:44:00Z</cp:lastPrinted>
  <dcterms:created xsi:type="dcterms:W3CDTF">2010-02-11T04:30:00Z</dcterms:created>
  <dcterms:modified xsi:type="dcterms:W3CDTF">2010-02-11T04:46:00Z</dcterms:modified>
</cp:coreProperties>
</file>