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156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5435">
            <w:t>1638-S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54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5435">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5435">
            <w:t>HEDE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5435">
            <w:t>251</w:t>
          </w:r>
        </w:sdtContent>
      </w:sdt>
    </w:p>
    <w:p w:rsidR="00DF5D0E" w:rsidP="00B73E0A" w:rsidRDefault="00AA1230">
      <w:pPr>
        <w:pStyle w:val="OfferedBy"/>
        <w:spacing w:after="120"/>
      </w:pPr>
      <w:r>
        <w:tab/>
      </w:r>
      <w:r>
        <w:tab/>
      </w:r>
      <w:r>
        <w:tab/>
      </w:r>
    </w:p>
    <w:p w:rsidR="00DF5D0E" w:rsidRDefault="00B156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5435">
            <w:rPr>
              <w:b/>
              <w:u w:val="single"/>
            </w:rPr>
            <w:t>SHB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54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4BA6">
            <w:rPr>
              <w:b/>
            </w:rPr>
            <w:t xml:space="preserve"> 172</w:t>
          </w:r>
        </w:sdtContent>
      </w:sdt>
    </w:p>
    <w:p w:rsidR="00DF5D0E" w:rsidP="00605C39" w:rsidRDefault="00B156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5435">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35435">
          <w:pPr>
            <w:spacing w:line="408" w:lineRule="exact"/>
            <w:jc w:val="right"/>
            <w:rPr>
              <w:b/>
              <w:bCs/>
            </w:rPr>
          </w:pPr>
          <w:r>
            <w:rPr>
              <w:b/>
              <w:bCs/>
            </w:rPr>
            <w:t xml:space="preserve">WITHDRAWN 03/08/2013</w:t>
          </w:r>
        </w:p>
      </w:sdtContent>
    </w:sdt>
    <w:permStart w:edGrp="everyone" w:id="1959211507"/>
    <w:p w:rsidR="00BB1153" w:rsidP="00BB115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35435">
        <w:t xml:space="preserve">On page </w:t>
      </w:r>
      <w:r w:rsidR="00BB1153">
        <w:t>15, after line 34, insert the following:</w:t>
      </w:r>
    </w:p>
    <w:p w:rsidR="00557BB2" w:rsidP="00BB1153" w:rsidRDefault="00BB1153">
      <w:pPr>
        <w:pStyle w:val="Page"/>
      </w:pPr>
      <w:r>
        <w:tab/>
        <w:t>"</w:t>
      </w:r>
      <w:r w:rsidRPr="00FD6D79" w:rsidR="00945E11">
        <w:rPr>
          <w:u w:val="single"/>
        </w:rPr>
        <w:t>NEW SEC</w:t>
      </w:r>
      <w:r w:rsidR="00945E11">
        <w:rPr>
          <w:u w:val="single"/>
        </w:rPr>
        <w:t>T</w:t>
      </w:r>
      <w:r w:rsidRPr="00FD6D79" w:rsidR="00945E11">
        <w:rPr>
          <w:u w:val="single"/>
        </w:rPr>
        <w:t>ION.</w:t>
      </w:r>
      <w:r w:rsidR="00945E11">
        <w:t xml:space="preserve"> </w:t>
      </w:r>
      <w:r w:rsidRPr="00FD6D79" w:rsidR="00945E11">
        <w:rPr>
          <w:b/>
        </w:rPr>
        <w:t>Sec. 15</w:t>
      </w:r>
      <w:r w:rsidR="00945E11">
        <w:t xml:space="preserve">. </w:t>
      </w:r>
      <w:r w:rsidR="00557BB2">
        <w:t>A new section is added to chapter 48.02 RCW to read as follows:</w:t>
      </w:r>
    </w:p>
    <w:p w:rsidR="00557BB2" w:rsidP="00557BB2" w:rsidRDefault="00557BB2">
      <w:pPr>
        <w:pStyle w:val="RCWSLText"/>
      </w:pPr>
      <w:r>
        <w:tab/>
      </w:r>
      <w:r w:rsidR="00FD6D79">
        <w:t xml:space="preserve"> </w:t>
      </w:r>
      <w:r>
        <w:t>(1) An agency practice, policy, or procedure used when administering, interpreting, enforcing, or implementing any law is not effective before and unless all of the following have been met:</w:t>
      </w:r>
    </w:p>
    <w:p w:rsidR="00557BB2" w:rsidP="00557BB2" w:rsidRDefault="00557BB2">
      <w:pPr>
        <w:pStyle w:val="RCWSLText"/>
      </w:pPr>
      <w:r>
        <w:tab/>
        <w:t>(a) The insurance commissioner has communicated the practice, policy, or procedure in writing to those affected at least thirty days in advance of its use or implementation along with identification of the statute conferring authority for that practice, policy, or procedure;</w:t>
      </w:r>
    </w:p>
    <w:p w:rsidR="00557BB2" w:rsidP="00557BB2" w:rsidRDefault="00557BB2">
      <w:pPr>
        <w:pStyle w:val="RCWSLText"/>
      </w:pPr>
      <w:r>
        <w:tab/>
        <w:t>(b) The commissioner publishes on the agency web site the practice, policy, or procedure upon use or implementation along with prior versions of that practice, policy, or procedure and enforcement actions based upon that practice, policy, or procedure;</w:t>
      </w:r>
    </w:p>
    <w:p w:rsidR="00557BB2" w:rsidP="00557BB2" w:rsidRDefault="00557BB2">
      <w:pPr>
        <w:pStyle w:val="RCWSLText"/>
      </w:pPr>
      <w:r>
        <w:t xml:space="preserve"> </w:t>
      </w:r>
      <w:r>
        <w:tab/>
        <w:t>(c) Agency enforcement and application of a practice, policy, or procedure applies equally to all similar products, services, and licensees except as explicitly required otherwise by a law identified by the commissioner; and</w:t>
      </w:r>
    </w:p>
    <w:p w:rsidR="00557BB2" w:rsidP="00557BB2" w:rsidRDefault="00557BB2">
      <w:pPr>
        <w:pStyle w:val="RCWSLText"/>
      </w:pPr>
      <w:r>
        <w:tab/>
        <w:t>(d) The commissioner applies any new practice, policy, or procedure prospectively only except as explicitly required otherwise by a law identified by the commissioner.</w:t>
      </w:r>
    </w:p>
    <w:p w:rsidR="00557BB2" w:rsidP="00557BB2" w:rsidRDefault="00557BB2">
      <w:pPr>
        <w:pStyle w:val="RCWSLText"/>
      </w:pPr>
      <w:r>
        <w:tab/>
        <w:t xml:space="preserve">(2) The commissioner may not impose a fine or suspend or revoke a license for a violation of law relating to the filing, use, or approval of a rate, form, or agreement by a carrier if the commissioner had previously approved, waived a requirement for, or </w:t>
      </w:r>
      <w:r>
        <w:lastRenderedPageBreak/>
        <w:t>waived enforcement against any carrier for a substantially similar rate, form, or agreement in similar circumstances.</w:t>
      </w:r>
    </w:p>
    <w:p w:rsidR="00557BB2" w:rsidP="00557BB2" w:rsidRDefault="00557BB2">
      <w:pPr>
        <w:pStyle w:val="RCWSLText"/>
      </w:pPr>
      <w:r>
        <w:tab/>
        <w:t>(3) The commissioner may not prohibit or take action against any person for the negotiation of a provider or facility agreement in advance of filing the agreement.  The commissioner may not prohibit the execution or use of a health care provider or facility agreement that varies from the carrier's filed and approved agreements solely with respect to terms and conditions:</w:t>
      </w:r>
    </w:p>
    <w:p w:rsidR="00557BB2" w:rsidP="00557BB2" w:rsidRDefault="00557BB2">
      <w:pPr>
        <w:pStyle w:val="RCWSLText"/>
      </w:pPr>
      <w:r>
        <w:tab/>
        <w:t>(a) For which the commissioner has no statutory authority to disapprove; or</w:t>
      </w:r>
    </w:p>
    <w:p w:rsidR="00557BB2" w:rsidP="00557BB2" w:rsidRDefault="00557BB2">
      <w:pPr>
        <w:pStyle w:val="RCWSLText"/>
      </w:pPr>
      <w:r>
        <w:tab/>
        <w:t>(b) Required by another state or federal government agency with jurisdiction over the agreement.</w:t>
      </w:r>
    </w:p>
    <w:p w:rsidR="00557BB2" w:rsidP="00557BB2" w:rsidRDefault="00557BB2">
      <w:pPr>
        <w:pStyle w:val="RCWSLText"/>
      </w:pPr>
      <w:r>
        <w:tab/>
        <w:t>(4) In any action by the commissioner against any person for a violation of law relating to the use of a rate, form, or agreement, the determination of whether a material difference exists between the approved and used rate, form, or agreement must be made in accordance with state common law governing material modification of agreements.</w:t>
      </w:r>
      <w:r w:rsidR="00BB1153">
        <w:t>"</w:t>
      </w:r>
    </w:p>
    <w:p w:rsidRPr="00557BB2" w:rsidR="00557BB2" w:rsidP="00557BB2" w:rsidRDefault="00557BB2">
      <w:pPr>
        <w:pStyle w:val="RCWSLText"/>
      </w:pPr>
    </w:p>
    <w:p w:rsidRPr="00B35435" w:rsidR="00DF5D0E" w:rsidP="00557BB2" w:rsidRDefault="00BB1153">
      <w:pPr>
        <w:pStyle w:val="Page"/>
      </w:pPr>
      <w:r>
        <w:t xml:space="preserve"> </w:t>
      </w:r>
      <w:r w:rsidR="0031308F">
        <w:tab/>
      </w:r>
      <w:r>
        <w:t>Renumber the remaining section accordingly and correct any internal references</w:t>
      </w:r>
      <w:r w:rsidR="0031308F">
        <w:t xml:space="preserve"> accordingly.  </w:t>
      </w:r>
      <w:r w:rsidR="00557BB2">
        <w:t>Correct the title.</w:t>
      </w:r>
    </w:p>
    <w:permEnd w:id="1959211507"/>
    <w:p w:rsidR="00ED2EEB" w:rsidP="00B354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83885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35435" w:rsidRDefault="00D659AC">
                <w:pPr>
                  <w:pStyle w:val="Effect"/>
                  <w:suppressLineNumbers/>
                  <w:shd w:val="clear" w:color="auto" w:fill="auto"/>
                  <w:ind w:left="0" w:firstLine="0"/>
                </w:pPr>
              </w:p>
            </w:tc>
            <w:tc>
              <w:tcPr>
                <w:tcW w:w="9874" w:type="dxa"/>
                <w:shd w:val="clear" w:color="auto" w:fill="FFFFFF" w:themeFill="background1"/>
              </w:tcPr>
              <w:p w:rsidR="001C1B27" w:rsidP="00B354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1308F">
                  <w:t xml:space="preserve">Delays the </w:t>
                </w:r>
                <w:r w:rsidR="00A87516">
                  <w:t xml:space="preserve">use of any rule, practice, </w:t>
                </w:r>
                <w:r w:rsidR="00F16200">
                  <w:t>or procedure</w:t>
                </w:r>
                <w:r w:rsidR="00A87516">
                  <w:t xml:space="preserve"> that administers</w:t>
                </w:r>
                <w:r w:rsidR="0031308F">
                  <w:t>, interpret</w:t>
                </w:r>
                <w:r w:rsidR="00A87516">
                  <w:t>s</w:t>
                </w:r>
                <w:r w:rsidR="0031308F">
                  <w:t>, enforc</w:t>
                </w:r>
                <w:r w:rsidR="00A87516">
                  <w:t>es</w:t>
                </w:r>
                <w:r w:rsidR="0031308F">
                  <w:t>, or implement</w:t>
                </w:r>
                <w:r w:rsidR="00A87516">
                  <w:t>s</w:t>
                </w:r>
                <w:r w:rsidR="0031308F">
                  <w:t xml:space="preserve"> any law by the Insurance Commissioner</w:t>
                </w:r>
                <w:r w:rsidR="00A87516">
                  <w:t xml:space="preserve"> (Commissioner)</w:t>
                </w:r>
                <w:r w:rsidR="0031308F">
                  <w:t xml:space="preserve"> until certain criteria are met.  </w:t>
                </w:r>
                <w:r w:rsidR="00F16200">
                  <w:t>The c</w:t>
                </w:r>
                <w:r w:rsidR="0031308F">
                  <w:t>riteria include</w:t>
                </w:r>
                <w:r w:rsidR="00F16200">
                  <w:t>:</w:t>
                </w:r>
                <w:r w:rsidR="0031308F">
                  <w:t xml:space="preserve"> </w:t>
                </w:r>
                <w:r w:rsidR="00F16200">
                  <w:t>C</w:t>
                </w:r>
                <w:r w:rsidR="00A87516">
                  <w:t>ommunication to all affected parties at least 30 days prior to use by the Commis</w:t>
                </w:r>
                <w:r w:rsidR="00F16200">
                  <w:t>s</w:t>
                </w:r>
                <w:r w:rsidR="00A87516">
                  <w:t>ioner</w:t>
                </w:r>
                <w:r w:rsidR="00F16200">
                  <w:t>;</w:t>
                </w:r>
                <w:r w:rsidRPr="0096303F" w:rsidR="001C1B27">
                  <w:t> </w:t>
                </w:r>
                <w:r w:rsidR="00F16200">
                  <w:t>publication</w:t>
                </w:r>
                <w:r w:rsidR="005E0FCD">
                  <w:t xml:space="preserve"> on the Commissioner's website</w:t>
                </w:r>
                <w:r w:rsidR="00F16200">
                  <w:t xml:space="preserve"> of the rule, practice, or procedure and all previous versions of that rule, practice, or procedure and all enforcement actions taken based on that rule, practice, or procedure; enforcement applies to all similar products, services, and licensees unless explicit</w:t>
                </w:r>
                <w:r w:rsidR="00A35AC7">
                  <w:t>l</w:t>
                </w:r>
                <w:r w:rsidR="00F16200">
                  <w:t>y provided otherwise by law</w:t>
                </w:r>
                <w:r w:rsidR="00A35AC7">
                  <w:t xml:space="preserve">; any new rule, practice, or procedure may only be provided prospectively unless explicitly provided otherwise by law.  </w:t>
                </w:r>
              </w:p>
              <w:p w:rsidR="00A35AC7" w:rsidP="00B35435" w:rsidRDefault="00A35AC7">
                <w:pPr>
                  <w:pStyle w:val="Effect"/>
                  <w:suppressLineNumbers/>
                  <w:shd w:val="clear" w:color="auto" w:fill="auto"/>
                  <w:ind w:left="0" w:firstLine="0"/>
                </w:pPr>
              </w:p>
              <w:p w:rsidR="00A35AC7" w:rsidP="00B35435" w:rsidRDefault="00A35AC7">
                <w:pPr>
                  <w:pStyle w:val="Effect"/>
                  <w:suppressLineNumbers/>
                  <w:shd w:val="clear" w:color="auto" w:fill="auto"/>
                  <w:ind w:left="0" w:firstLine="0"/>
                </w:pPr>
                <w:r>
                  <w:t>The Commissioner may not impose a sanction related to the filing, use, or approval of a rate or contract of a carrier</w:t>
                </w:r>
                <w:r w:rsidR="00E727EB">
                  <w:t xml:space="preserve"> </w:t>
                </w:r>
                <w:r>
                  <w:t xml:space="preserve">if the Commissioner has approved, waived a requirement, or waived enforcement against any carrier </w:t>
                </w:r>
                <w:r w:rsidR="004B5070">
                  <w:t xml:space="preserve">in regards to a substantially similar rate or contract in similar circumstances.  The Commissioner </w:t>
                </w:r>
                <w:r w:rsidR="004E6312">
                  <w:t>may not prohibit any person or impose any sanction related to a provider or facility agreement prior</w:t>
                </w:r>
                <w:r w:rsidR="00262455">
                  <w:t xml:space="preserve"> to the filing of th</w:t>
                </w:r>
                <w:r w:rsidR="004E6312">
                  <w:t>e</w:t>
                </w:r>
                <w:r w:rsidR="00262455">
                  <w:t xml:space="preserve"> agree</w:t>
                </w:r>
                <w:r w:rsidR="004E6312">
                  <w:t>m</w:t>
                </w:r>
                <w:r w:rsidR="00262455">
                  <w:t>e</w:t>
                </w:r>
                <w:r w:rsidR="004E6312">
                  <w:t>nt</w:t>
                </w:r>
                <w:r w:rsidR="00262455">
                  <w:t xml:space="preserve">.  </w:t>
                </w:r>
                <w:r w:rsidR="00262455">
                  <w:lastRenderedPageBreak/>
                  <w:t xml:space="preserve">The Commissioner may not prohibit any provision in a provider or facility agreement unless the Commissioner has statutory authority to disapprove the provision.  The Commissioner may not prohibit any provision in a provider or facility agreement that is required by another state or federal government </w:t>
                </w:r>
                <w:r w:rsidR="005E0FCD">
                  <w:t>a</w:t>
                </w:r>
                <w:r w:rsidR="00262455">
                  <w:t>g</w:t>
                </w:r>
                <w:r w:rsidR="005E0FCD">
                  <w:t>e</w:t>
                </w:r>
                <w:r w:rsidR="00262455">
                  <w:t xml:space="preserve">ncy that has jurisdiction over the </w:t>
                </w:r>
                <w:r w:rsidR="00714679">
                  <w:t>agreement.</w:t>
                </w:r>
              </w:p>
              <w:p w:rsidR="00714679" w:rsidP="00B35435" w:rsidRDefault="00714679">
                <w:pPr>
                  <w:pStyle w:val="Effect"/>
                  <w:suppressLineNumbers/>
                  <w:shd w:val="clear" w:color="auto" w:fill="auto"/>
                  <w:ind w:left="0" w:firstLine="0"/>
                </w:pPr>
              </w:p>
              <w:p w:rsidRPr="007D1589" w:rsidR="001B4E53" w:rsidP="00387CFB" w:rsidRDefault="004466E2">
                <w:pPr>
                  <w:pStyle w:val="Effect"/>
                  <w:suppressLineNumbers/>
                  <w:shd w:val="clear" w:color="auto" w:fill="auto"/>
                  <w:ind w:left="0" w:firstLine="0"/>
                </w:pPr>
                <w:r>
                  <w:t xml:space="preserve">State common law regarding the material modification of contracts is the </w:t>
                </w:r>
                <w:r w:rsidR="00714679">
                  <w:t xml:space="preserve">standard </w:t>
                </w:r>
                <w:r>
                  <w:t xml:space="preserve">to be </w:t>
                </w:r>
                <w:r w:rsidR="00714679">
                  <w:t xml:space="preserve">used to judge whether or not there is a material difference between a rate or contract that is approved </w:t>
                </w:r>
                <w:r w:rsidR="00387CFB">
                  <w:t xml:space="preserve">for use </w:t>
                </w:r>
                <w:r w:rsidR="00714679">
                  <w:t xml:space="preserve">by the Commissioner and </w:t>
                </w:r>
                <w:r>
                  <w:t>a rate or contract</w:t>
                </w:r>
                <w:r w:rsidR="00714679">
                  <w:t xml:space="preserve"> is</w:t>
                </w:r>
                <w:r>
                  <w:t xml:space="preserve"> actually</w:t>
                </w:r>
                <w:r w:rsidR="00714679">
                  <w:t xml:space="preserve"> used by an insurer or carrier.</w:t>
                </w:r>
              </w:p>
            </w:tc>
          </w:tr>
        </w:sdtContent>
      </w:sdt>
      <w:permEnd w:id="778388521"/>
    </w:tbl>
    <w:p w:rsidR="00DF5D0E" w:rsidP="00B35435" w:rsidRDefault="00DF5D0E">
      <w:pPr>
        <w:pStyle w:val="BillEnd"/>
        <w:suppressLineNumbers/>
      </w:pPr>
    </w:p>
    <w:p w:rsidR="00DF5D0E" w:rsidP="00B35435" w:rsidRDefault="00DE256E">
      <w:pPr>
        <w:pStyle w:val="BillEnd"/>
        <w:suppressLineNumbers/>
      </w:pPr>
      <w:r>
        <w:rPr>
          <w:b/>
        </w:rPr>
        <w:t>--- END ---</w:t>
      </w:r>
    </w:p>
    <w:p w:rsidR="00DF5D0E" w:rsidP="00B354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35" w:rsidRDefault="00B35435" w:rsidP="00DF5D0E">
      <w:r>
        <w:separator/>
      </w:r>
    </w:p>
  </w:endnote>
  <w:endnote w:type="continuationSeparator" w:id="0">
    <w:p w:rsidR="00B35435" w:rsidRDefault="00B354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wentieth Century Poster1"/>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92" w:rsidRDefault="00075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15633">
    <w:pPr>
      <w:pStyle w:val="AmendDraftFooter"/>
    </w:pPr>
    <w:r>
      <w:fldChar w:fldCharType="begin"/>
    </w:r>
    <w:r>
      <w:instrText xml:space="preserve"> TITLE   \* MERGEFORMAT </w:instrText>
    </w:r>
    <w:r>
      <w:fldChar w:fldCharType="separate"/>
    </w:r>
    <w:r>
      <w:t>1638-S AMH SHMK HEDE 251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15633">
    <w:pPr>
      <w:pStyle w:val="AmendDraftFooter"/>
    </w:pPr>
    <w:r>
      <w:fldChar w:fldCharType="begin"/>
    </w:r>
    <w:r>
      <w:instrText xml:space="preserve"> TITLE   \* MERGEFORMAT </w:instrText>
    </w:r>
    <w:r>
      <w:fldChar w:fldCharType="separate"/>
    </w:r>
    <w:r>
      <w:t>1638-S AMH SHMK HEDE 251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35" w:rsidRDefault="00B35435" w:rsidP="00DF5D0E">
      <w:r>
        <w:separator/>
      </w:r>
    </w:p>
  </w:footnote>
  <w:footnote w:type="continuationSeparator" w:id="0">
    <w:p w:rsidR="00B35435" w:rsidRDefault="00B354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92" w:rsidRDefault="00075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6D26"/>
    <w:rsid w:val="00075192"/>
    <w:rsid w:val="0007678E"/>
    <w:rsid w:val="00096165"/>
    <w:rsid w:val="000C6C82"/>
    <w:rsid w:val="000E603A"/>
    <w:rsid w:val="00102468"/>
    <w:rsid w:val="00106544"/>
    <w:rsid w:val="00146AAF"/>
    <w:rsid w:val="00194B63"/>
    <w:rsid w:val="001A775A"/>
    <w:rsid w:val="001B4E53"/>
    <w:rsid w:val="001C1B27"/>
    <w:rsid w:val="001E6675"/>
    <w:rsid w:val="00217E8A"/>
    <w:rsid w:val="00262455"/>
    <w:rsid w:val="00265296"/>
    <w:rsid w:val="00281CBD"/>
    <w:rsid w:val="0031308F"/>
    <w:rsid w:val="00316CD9"/>
    <w:rsid w:val="00387CFB"/>
    <w:rsid w:val="003E2FC6"/>
    <w:rsid w:val="004466E2"/>
    <w:rsid w:val="00492DDC"/>
    <w:rsid w:val="004B5070"/>
    <w:rsid w:val="004C6615"/>
    <w:rsid w:val="004E6312"/>
    <w:rsid w:val="00523C5A"/>
    <w:rsid w:val="00557BB2"/>
    <w:rsid w:val="005E0FCD"/>
    <w:rsid w:val="005E69C3"/>
    <w:rsid w:val="00605C39"/>
    <w:rsid w:val="006841E6"/>
    <w:rsid w:val="006F7027"/>
    <w:rsid w:val="007049E4"/>
    <w:rsid w:val="00714679"/>
    <w:rsid w:val="0072335D"/>
    <w:rsid w:val="0072541D"/>
    <w:rsid w:val="00757317"/>
    <w:rsid w:val="007769AF"/>
    <w:rsid w:val="007D1589"/>
    <w:rsid w:val="007D35D4"/>
    <w:rsid w:val="0083749C"/>
    <w:rsid w:val="008443FE"/>
    <w:rsid w:val="00846034"/>
    <w:rsid w:val="008C7E6E"/>
    <w:rsid w:val="008F795C"/>
    <w:rsid w:val="00931B84"/>
    <w:rsid w:val="00945E11"/>
    <w:rsid w:val="0096303F"/>
    <w:rsid w:val="00972869"/>
    <w:rsid w:val="00984559"/>
    <w:rsid w:val="00984CD1"/>
    <w:rsid w:val="009F23A9"/>
    <w:rsid w:val="00A01F29"/>
    <w:rsid w:val="00A17B5B"/>
    <w:rsid w:val="00A3541B"/>
    <w:rsid w:val="00A35AC7"/>
    <w:rsid w:val="00A4729B"/>
    <w:rsid w:val="00A87516"/>
    <w:rsid w:val="00A93D4A"/>
    <w:rsid w:val="00AA1230"/>
    <w:rsid w:val="00AB682C"/>
    <w:rsid w:val="00AD2D0A"/>
    <w:rsid w:val="00B15633"/>
    <w:rsid w:val="00B31D1C"/>
    <w:rsid w:val="00B35435"/>
    <w:rsid w:val="00B3702A"/>
    <w:rsid w:val="00B41494"/>
    <w:rsid w:val="00B518D0"/>
    <w:rsid w:val="00B56650"/>
    <w:rsid w:val="00B73E0A"/>
    <w:rsid w:val="00B961E0"/>
    <w:rsid w:val="00BB1153"/>
    <w:rsid w:val="00BF44DF"/>
    <w:rsid w:val="00C61A83"/>
    <w:rsid w:val="00C8108C"/>
    <w:rsid w:val="00D40447"/>
    <w:rsid w:val="00D659AC"/>
    <w:rsid w:val="00DA47F3"/>
    <w:rsid w:val="00DC2C13"/>
    <w:rsid w:val="00DE256E"/>
    <w:rsid w:val="00DF5D0E"/>
    <w:rsid w:val="00E1471A"/>
    <w:rsid w:val="00E14BA6"/>
    <w:rsid w:val="00E267B1"/>
    <w:rsid w:val="00E41CC6"/>
    <w:rsid w:val="00E66F5D"/>
    <w:rsid w:val="00E727EB"/>
    <w:rsid w:val="00E831A5"/>
    <w:rsid w:val="00E850E7"/>
    <w:rsid w:val="00EC4C96"/>
    <w:rsid w:val="00ED2EEB"/>
    <w:rsid w:val="00F16200"/>
    <w:rsid w:val="00F229DE"/>
    <w:rsid w:val="00F304D3"/>
    <w:rsid w:val="00F4663F"/>
    <w:rsid w:val="00FD6D7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egard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wentieth Century Poster1"/>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1638-S</BillDocName>
  <AmendType>AMH</AmendType>
  <SponsorAcronym>SHMK</SponsorAcronym>
  <DrafterAcronym>HEDE</DrafterAcronym>
  <DraftNumber>251</DraftNumber>
  <ReferenceNumber>SHB 1638</ReferenceNumber>
  <Floor>H AMD</Floor>
  <AmendmentNumber> 172</AmendmentNumber>
  <Sponsors>By Representative Schmick</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728</Words>
  <Characters>3915</Characters>
  <Application>Microsoft Office Word</Application>
  <DocSecurity>8</DocSecurity>
  <Lines>91</Lines>
  <Paragraphs>24</Paragraphs>
  <ScaleCrop>false</ScaleCrop>
  <HeadingPairs>
    <vt:vector size="2" baseType="variant">
      <vt:variant>
        <vt:lpstr>Title</vt:lpstr>
      </vt:variant>
      <vt:variant>
        <vt:i4>1</vt:i4>
      </vt:variant>
    </vt:vector>
  </HeadingPairs>
  <TitlesOfParts>
    <vt:vector size="1" baseType="lpstr">
      <vt:lpstr>1638-S AMH SHMK HEDE 251</vt:lpstr>
    </vt:vector>
  </TitlesOfParts>
  <Company>Washington State Legislature</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1638-S AMH SHMK HEDE 251</dc:title>
  <dc:creator>Jon Hedegard</dc:creator>
  <cp:lastModifiedBy>Jon Hedegard</cp:lastModifiedBy>
  <cp:revision>17</cp:revision>
  <cp:lastPrinted>2013-03-07T19:54:00Z</cp:lastPrinted>
  <dcterms:created xsi:type="dcterms:W3CDTF">2013-03-07T19:16:00Z</dcterms:created>
  <dcterms:modified xsi:type="dcterms:W3CDTF">2013-03-07T19:54:00Z</dcterms:modified>
</cp:coreProperties>
</file>