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21E1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7C3B">
            <w:t>2697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7C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7C3B">
            <w:t>ORTI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7C3B">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7C3B">
            <w:t>949</w:t>
          </w:r>
        </w:sdtContent>
      </w:sdt>
    </w:p>
    <w:p w:rsidR="00DF5D0E" w:rsidP="00B73E0A" w:rsidRDefault="00AA1230">
      <w:pPr>
        <w:pStyle w:val="OfferedBy"/>
        <w:spacing w:after="120"/>
      </w:pPr>
      <w:r>
        <w:tab/>
      </w:r>
      <w:r>
        <w:tab/>
      </w:r>
      <w:r>
        <w:tab/>
      </w:r>
    </w:p>
    <w:p w:rsidR="00DF5D0E" w:rsidRDefault="00121E1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7C3B">
            <w:rPr>
              <w:b/>
              <w:u w:val="single"/>
            </w:rPr>
            <w:t>HB 2697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7C3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E7C6A">
            <w:rPr>
              <w:b/>
            </w:rPr>
            <w:t xml:space="preserve"> 685</w:t>
          </w:r>
        </w:sdtContent>
      </w:sdt>
    </w:p>
    <w:p w:rsidR="00DF5D0E" w:rsidP="00605C39" w:rsidRDefault="00121E1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7C3B">
            <w:t>By Representative Ortiz-Self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47C3B">
          <w:pPr>
            <w:spacing w:line="408" w:lineRule="exact"/>
            <w:jc w:val="right"/>
            <w:rPr>
              <w:b/>
              <w:bCs/>
            </w:rPr>
          </w:pPr>
          <w:r>
            <w:rPr>
              <w:b/>
              <w:bCs/>
            </w:rPr>
            <w:t xml:space="preserve"> </w:t>
          </w:r>
        </w:p>
      </w:sdtContent>
    </w:sdt>
    <w:permStart w:edGrp="everyone" w:id="1754100219"/>
    <w:p w:rsidR="0028124E" w:rsidP="0028124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8124E">
        <w:t>On page 1, beginning on line 11, strike all of section 2 and insert the following:</w:t>
      </w:r>
    </w:p>
    <w:p w:rsidRPr="0028124E" w:rsidR="0028124E" w:rsidP="0028124E" w:rsidRDefault="0028124E">
      <w:pPr>
        <w:pStyle w:val="RCWSLText"/>
      </w:pPr>
    </w:p>
    <w:p w:rsidRPr="0028124E" w:rsidR="0028124E" w:rsidP="0028124E" w:rsidRDefault="0028124E">
      <w:pPr>
        <w:pStyle w:val="RCWSLText"/>
        <w:rPr>
          <w:spacing w:val="0"/>
        </w:rPr>
      </w:pPr>
      <w:r>
        <w:tab/>
        <w:t>"</w:t>
      </w:r>
      <w:r>
        <w:rPr>
          <w:u w:val="single"/>
        </w:rPr>
        <w:t>NEW SECTION.</w:t>
      </w:r>
      <w:r>
        <w:rPr>
          <w:b/>
        </w:rPr>
        <w:t xml:space="preserve"> Sec. 2.</w:t>
      </w:r>
      <w:r>
        <w:t xml:space="preserve">  (1)  </w:t>
      </w:r>
      <w:r w:rsidRPr="0094798B">
        <w:t>The superintendent</w:t>
      </w:r>
      <w:r>
        <w:t xml:space="preserve"> of public instruction</w:t>
      </w:r>
      <w:r w:rsidRPr="0094798B">
        <w:t xml:space="preserve">, in consultation with the entities listed </w:t>
      </w:r>
      <w:r>
        <w:t>in RCW 28A.230.125; the student achievement council; the educational opportunity gap oversight and accountability committee; and representatives of associations or organizations representing teachers, principals, school administrators, school directors, and parents</w:t>
      </w:r>
      <w:r w:rsidR="00892B9F">
        <w:t>,</w:t>
      </w:r>
      <w:r>
        <w:t xml:space="preserve"> </w:t>
      </w:r>
      <w:r w:rsidRPr="0094798B">
        <w:t xml:space="preserve">shall consider the feasibility of assigning additional weight </w:t>
      </w:r>
      <w:r>
        <w:t xml:space="preserve">on the standardized high school transcript </w:t>
      </w:r>
      <w:r w:rsidRPr="0094798B">
        <w:t xml:space="preserve">to </w:t>
      </w:r>
      <w:r>
        <w:t xml:space="preserve">advanced placement (AP) and higher level international baccalaureate (IB) </w:t>
      </w:r>
      <w:r w:rsidRPr="0094798B">
        <w:t>courses</w:t>
      </w:r>
      <w:r>
        <w:t xml:space="preserve"> for purposes of calculating a high school student's grade point average</w:t>
      </w:r>
      <w:r w:rsidRPr="0094798B">
        <w:t xml:space="preserve">.  The </w:t>
      </w:r>
      <w:r>
        <w:t>superintendent shall examine</w:t>
      </w:r>
      <w:r w:rsidRPr="0094798B">
        <w:t xml:space="preserve"> options</w:t>
      </w:r>
      <w:r>
        <w:t xml:space="preserve"> for a common calculation methodology</w:t>
      </w:r>
      <w:r w:rsidRPr="0094798B">
        <w:t xml:space="preserve">, advantages and disadvantages, and a possible timeframe for implementation.  The superintendent shall submit </w:t>
      </w:r>
      <w:r>
        <w:t xml:space="preserve">the analysis and recommendations </w:t>
      </w:r>
      <w:r w:rsidRPr="0094798B">
        <w:t xml:space="preserve">to the education committees of the legislature by </w:t>
      </w:r>
      <w:r w:rsidRPr="0028124E">
        <w:rPr>
          <w:spacing w:val="0"/>
        </w:rPr>
        <w:t>December 1, 2014.</w:t>
      </w:r>
    </w:p>
    <w:p w:rsidRPr="0028124E" w:rsidR="0028124E" w:rsidP="0028124E" w:rsidRDefault="0028124E">
      <w:pPr>
        <w:pStyle w:val="RCWSLText"/>
        <w:rPr>
          <w:spacing w:val="0"/>
        </w:rPr>
      </w:pPr>
      <w:r w:rsidRPr="0028124E">
        <w:rPr>
          <w:spacing w:val="0"/>
        </w:rPr>
        <w:tab/>
        <w:t xml:space="preserve">(2) </w:t>
      </w:r>
      <w:r>
        <w:rPr>
          <w:spacing w:val="0"/>
        </w:rPr>
        <w:t xml:space="preserve"> After completing the analysis under subsection (1) of this section, the superintendent, in consultation with the entities and representatives listed under subsection (1) of this section, shall consider the feasibility of also assigning additional weight on the standardized high school transcript to courses completed through the running start program in RCW 28A.600.300 for purposes of calculating a high school student's grade point average.  The superintendent shall examine advantages and disadvantages, the comparability of running start courses to AP and IB courses, options for a </w:t>
      </w:r>
      <w:r>
        <w:rPr>
          <w:spacing w:val="0"/>
        </w:rPr>
        <w:lastRenderedPageBreak/>
        <w:t xml:space="preserve">calculation methodology as compared to the methodology recommended for AP and IB courses, and a possible timeframe for implementation.  </w:t>
      </w:r>
      <w:r w:rsidRPr="0094798B">
        <w:t xml:space="preserve">The superintendent shall submit </w:t>
      </w:r>
      <w:r>
        <w:t xml:space="preserve">the analysis and recommendations </w:t>
      </w:r>
      <w:r w:rsidRPr="0094798B">
        <w:t xml:space="preserve">to the education committees of the legislature by </w:t>
      </w:r>
      <w:r>
        <w:rPr>
          <w:spacing w:val="0"/>
        </w:rPr>
        <w:t>December 1, 2015</w:t>
      </w:r>
      <w:r w:rsidRPr="0028124E">
        <w:rPr>
          <w:spacing w:val="0"/>
        </w:rPr>
        <w:t>."</w:t>
      </w:r>
    </w:p>
    <w:p w:rsidR="00747C3B" w:rsidP="00C8108C" w:rsidRDefault="00747C3B">
      <w:pPr>
        <w:pStyle w:val="Page"/>
      </w:pPr>
    </w:p>
    <w:p w:rsidRPr="00747C3B" w:rsidR="00DF5D0E" w:rsidP="00747C3B" w:rsidRDefault="0028124E">
      <w:pPr>
        <w:suppressLineNumbers/>
        <w:rPr>
          <w:spacing w:val="-3"/>
        </w:rPr>
      </w:pPr>
      <w:r>
        <w:rPr>
          <w:spacing w:val="-3"/>
        </w:rPr>
        <w:tab/>
        <w:t>Correct the title.</w:t>
      </w:r>
    </w:p>
    <w:permEnd w:id="1754100219"/>
    <w:p w:rsidR="00ED2EEB" w:rsidP="00747C3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951468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47C3B" w:rsidRDefault="00D659AC">
                <w:pPr>
                  <w:pStyle w:val="Effect"/>
                  <w:suppressLineNumbers/>
                  <w:shd w:val="clear" w:color="auto" w:fill="auto"/>
                  <w:ind w:left="0" w:firstLine="0"/>
                </w:pPr>
              </w:p>
            </w:tc>
            <w:tc>
              <w:tcPr>
                <w:tcW w:w="9874" w:type="dxa"/>
                <w:shd w:val="clear" w:color="auto" w:fill="FFFFFF" w:themeFill="background1"/>
              </w:tcPr>
              <w:p w:rsidR="001C1B27" w:rsidP="00747C3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8124E">
                  <w:t>Replaces the requirement to develop a common methodology for assigning weight to AP and IB courses on the standardized high school transcript.  Instead</w:t>
                </w:r>
                <w:r w:rsidR="005D1862">
                  <w:t>,</w:t>
                </w:r>
                <w:r w:rsidR="0028124E">
                  <w:t xml:space="preserve"> directs the Superintendent of Public Instruction (SPI), in consultation with the public colleges and universities, other education agencies, the Educational Opportunity Gap Oversight and Accountability Committee,  and education associations, to examine the feasibility of assigning additional weight on the transcript to AP and IB courses.  Requires the analysis and recommendations to be submitted to the Education Committees by December 1, 2014.</w:t>
                </w:r>
              </w:p>
              <w:p w:rsidR="0028124E" w:rsidP="00747C3B" w:rsidRDefault="0028124E">
                <w:pPr>
                  <w:pStyle w:val="Effect"/>
                  <w:suppressLineNumbers/>
                  <w:shd w:val="clear" w:color="auto" w:fill="auto"/>
                  <w:ind w:left="0" w:firstLine="0"/>
                </w:pPr>
              </w:p>
              <w:p w:rsidRPr="007D1589" w:rsidR="001B4E53" w:rsidP="0028124E" w:rsidRDefault="0028124E">
                <w:pPr>
                  <w:pStyle w:val="Effect"/>
                  <w:suppressLineNumbers/>
                  <w:shd w:val="clear" w:color="auto" w:fill="auto"/>
                  <w:ind w:left="0" w:firstLine="0"/>
                </w:pPr>
                <w:r>
                  <w:t xml:space="preserve">After the first analysis is completed, directs the SPI, in consultation with the same entities, to examine the feasibility of also assigning additional weight on the transcript to Running Start courses.  Requires the analysis to include the </w:t>
                </w:r>
                <w:r>
                  <w:rPr>
                    <w:spacing w:val="0"/>
                  </w:rPr>
                  <w:t xml:space="preserve">comparability of Running Start courses to AP and IB </w:t>
                </w:r>
                <w:r w:rsidR="005D1862">
                  <w:rPr>
                    <w:spacing w:val="0"/>
                  </w:rPr>
                  <w:t xml:space="preserve">courses </w:t>
                </w:r>
                <w:r>
                  <w:rPr>
                    <w:spacing w:val="0"/>
                  </w:rPr>
                  <w:t>and options for a calculation method</w:t>
                </w:r>
                <w:r w:rsidR="005D1862">
                  <w:rPr>
                    <w:spacing w:val="0"/>
                  </w:rPr>
                  <w:t>ology</w:t>
                </w:r>
                <w:r>
                  <w:rPr>
                    <w:spacing w:val="0"/>
                  </w:rPr>
                  <w:t xml:space="preserve"> compared to the method</w:t>
                </w:r>
                <w:r w:rsidR="005D1862">
                  <w:rPr>
                    <w:spacing w:val="0"/>
                  </w:rPr>
                  <w:t>ology</w:t>
                </w:r>
                <w:r>
                  <w:rPr>
                    <w:spacing w:val="0"/>
                  </w:rPr>
                  <w:t xml:space="preserve"> recommended for AP and IB</w:t>
                </w:r>
                <w:r w:rsidR="005D1862">
                  <w:rPr>
                    <w:spacing w:val="0"/>
                  </w:rPr>
                  <w:t xml:space="preserve"> courses</w:t>
                </w:r>
                <w:r>
                  <w:rPr>
                    <w:spacing w:val="0"/>
                  </w:rPr>
                  <w:t xml:space="preserve">. </w:t>
                </w:r>
                <w:r>
                  <w:t>Requires the analysis and recommendations to be submitted to the Education Committees by December 1, 2015.</w:t>
                </w:r>
                <w:r>
                  <w:rPr>
                    <w:spacing w:val="0"/>
                  </w:rPr>
                  <w:t xml:space="preserve"> </w:t>
                </w:r>
              </w:p>
            </w:tc>
          </w:tr>
        </w:sdtContent>
      </w:sdt>
      <w:permEnd w:id="639514681"/>
    </w:tbl>
    <w:p w:rsidR="00DF5D0E" w:rsidP="00747C3B" w:rsidRDefault="00DF5D0E">
      <w:pPr>
        <w:pStyle w:val="BillEnd"/>
        <w:suppressLineNumbers/>
      </w:pPr>
    </w:p>
    <w:p w:rsidR="00DF5D0E" w:rsidP="00747C3B" w:rsidRDefault="00DE256E">
      <w:pPr>
        <w:pStyle w:val="BillEnd"/>
        <w:suppressLineNumbers/>
      </w:pPr>
      <w:r>
        <w:rPr>
          <w:b/>
        </w:rPr>
        <w:t>--- END ---</w:t>
      </w:r>
    </w:p>
    <w:p w:rsidR="00DF5D0E" w:rsidP="00747C3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3B" w:rsidRDefault="00747C3B" w:rsidP="00DF5D0E">
      <w:r>
        <w:separator/>
      </w:r>
    </w:p>
  </w:endnote>
  <w:endnote w:type="continuationSeparator" w:id="0">
    <w:p w:rsidR="00747C3B" w:rsidRDefault="00747C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90" w:rsidRDefault="006E3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21E13">
    <w:pPr>
      <w:pStyle w:val="AmendDraftFooter"/>
    </w:pPr>
    <w:r>
      <w:fldChar w:fldCharType="begin"/>
    </w:r>
    <w:r>
      <w:instrText xml:space="preserve"> TITLE   \* MERGEFORMAT </w:instrText>
    </w:r>
    <w:r>
      <w:fldChar w:fldCharType="separate"/>
    </w:r>
    <w:r>
      <w:t>2697 AMH ORTI MCLA 949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21E13">
    <w:pPr>
      <w:pStyle w:val="AmendDraftFooter"/>
    </w:pPr>
    <w:r>
      <w:fldChar w:fldCharType="begin"/>
    </w:r>
    <w:r>
      <w:instrText xml:space="preserve"> TITLE   \* MERGEFORMAT </w:instrText>
    </w:r>
    <w:r>
      <w:fldChar w:fldCharType="separate"/>
    </w:r>
    <w:r>
      <w:t>2697 AMH ORTI MCLA 949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3B" w:rsidRDefault="00747C3B" w:rsidP="00DF5D0E">
      <w:r>
        <w:separator/>
      </w:r>
    </w:p>
  </w:footnote>
  <w:footnote w:type="continuationSeparator" w:id="0">
    <w:p w:rsidR="00747C3B" w:rsidRDefault="00747C3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90" w:rsidRDefault="006E3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21E13"/>
    <w:rsid w:val="00146AAF"/>
    <w:rsid w:val="001A775A"/>
    <w:rsid w:val="001B1C7C"/>
    <w:rsid w:val="001B4E53"/>
    <w:rsid w:val="001C1B27"/>
    <w:rsid w:val="001E6675"/>
    <w:rsid w:val="00217E8A"/>
    <w:rsid w:val="00265296"/>
    <w:rsid w:val="0028124E"/>
    <w:rsid w:val="00281CBD"/>
    <w:rsid w:val="00316CD9"/>
    <w:rsid w:val="003E2FC6"/>
    <w:rsid w:val="00492DDC"/>
    <w:rsid w:val="004C6615"/>
    <w:rsid w:val="00523C5A"/>
    <w:rsid w:val="005D1862"/>
    <w:rsid w:val="005E69C3"/>
    <w:rsid w:val="00605C39"/>
    <w:rsid w:val="006841E6"/>
    <w:rsid w:val="006E3690"/>
    <w:rsid w:val="006F7027"/>
    <w:rsid w:val="007049E4"/>
    <w:rsid w:val="0072335D"/>
    <w:rsid w:val="0072541D"/>
    <w:rsid w:val="00747C3B"/>
    <w:rsid w:val="00757317"/>
    <w:rsid w:val="007769AF"/>
    <w:rsid w:val="007D1589"/>
    <w:rsid w:val="007D35D4"/>
    <w:rsid w:val="0083749C"/>
    <w:rsid w:val="008443FE"/>
    <w:rsid w:val="00846034"/>
    <w:rsid w:val="00892B9F"/>
    <w:rsid w:val="008C7E6E"/>
    <w:rsid w:val="00931B84"/>
    <w:rsid w:val="0096303F"/>
    <w:rsid w:val="00972869"/>
    <w:rsid w:val="00984CD1"/>
    <w:rsid w:val="009F23A9"/>
    <w:rsid w:val="009F2F3A"/>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5242"/>
    <w:rsid w:val="00C61A83"/>
    <w:rsid w:val="00C8108C"/>
    <w:rsid w:val="00D40447"/>
    <w:rsid w:val="00D659AC"/>
    <w:rsid w:val="00DA47F3"/>
    <w:rsid w:val="00DC2C13"/>
    <w:rsid w:val="00DE256E"/>
    <w:rsid w:val="00DE5F4B"/>
    <w:rsid w:val="00DF5D0E"/>
    <w:rsid w:val="00E1471A"/>
    <w:rsid w:val="00E267B1"/>
    <w:rsid w:val="00E41CC6"/>
    <w:rsid w:val="00E66F5D"/>
    <w:rsid w:val="00E831A5"/>
    <w:rsid w:val="00E850E7"/>
    <w:rsid w:val="00EC4C96"/>
    <w:rsid w:val="00ED2EEB"/>
    <w:rsid w:val="00F229DE"/>
    <w:rsid w:val="00F304D3"/>
    <w:rsid w:val="00F4663F"/>
    <w:rsid w:val="00FE7C6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A795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2697</BillDocName>
  <AmendType>AMH</AmendType>
  <SponsorAcronym>ORTI</SponsorAcronym>
  <DrafterAcronym>MCLA</DrafterAcronym>
  <DraftNumber>949</DraftNumber>
  <ReferenceNumber>HB 2697</ReferenceNumber>
  <Floor>H AMD</Floor>
  <AmendmentNumber> 685</AmendmentNumber>
  <Sponsors>By Representative Ortiz-Self</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2</Pages>
  <Words>456</Words>
  <Characters>2724</Characters>
  <Application>Microsoft Office Word</Application>
  <DocSecurity>8</DocSecurity>
  <Lines>64</Lines>
  <Paragraphs>11</Paragraphs>
  <ScaleCrop>false</ScaleCrop>
  <HeadingPairs>
    <vt:vector size="2" baseType="variant">
      <vt:variant>
        <vt:lpstr>Title</vt:lpstr>
      </vt:variant>
      <vt:variant>
        <vt:i4>1</vt:i4>
      </vt:variant>
    </vt:vector>
  </HeadingPairs>
  <TitlesOfParts>
    <vt:vector size="1" baseType="lpstr">
      <vt:lpstr>2697 AMH ORTI MCLA 949</vt:lpstr>
    </vt:vector>
  </TitlesOfParts>
  <Company>Washington State Legislature</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2697 AMH ORTI MCLA 949</dc:title>
  <dc:creator>Barbara McLain</dc:creator>
  <cp:lastModifiedBy>Barbara McLain</cp:lastModifiedBy>
  <cp:revision>9</cp:revision>
  <cp:lastPrinted>2014-02-12T17:50:00Z</cp:lastPrinted>
  <dcterms:created xsi:type="dcterms:W3CDTF">2014-02-12T17:30:00Z</dcterms:created>
  <dcterms:modified xsi:type="dcterms:W3CDTF">2014-02-12T17:51:00Z</dcterms:modified>
</cp:coreProperties>
</file>