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2d5a806ab648e5" /></Relationships>
</file>

<file path=word/document.xml><?xml version="1.0" encoding="utf-8"?>
<w:document xmlns:w="http://schemas.openxmlformats.org/wordprocessingml/2006/main">
  <w:body>
    <w:p>
      <w:r>
        <w:rPr>
          <w:b/>
        </w:rPr>
        <w:r>
          <w:rPr/>
          <w:t xml:space="preserve">1100-S</w:t>
        </w:r>
      </w:r>
      <w:r>
        <w:rPr>
          <w:b/>
        </w:rPr>
        <w:t xml:space="preserve"> </w:t>
        <w:t xml:space="preserve">AMH</w:t>
      </w:r>
      <w:r>
        <w:rPr>
          <w:b/>
        </w:rPr>
        <w:t xml:space="preserve"> </w:t>
        <w:r>
          <w:rPr/>
          <w:t xml:space="preserve">MORR</w:t>
        </w:r>
      </w:r>
      <w:r>
        <w:rPr>
          <w:b/>
        </w:rPr>
        <w:t xml:space="preserve"> </w:t>
        <w:r>
          <w:rPr/>
          <w:t xml:space="preserve">H2924.1</w:t>
        </w:r>
      </w:r>
      <w:r>
        <w:rPr>
          <w:b/>
        </w:rPr>
        <w:t xml:space="preserve"> - NOT FOR FLOOR USE</w:t>
      </w:r>
    </w:p>
    <w:p>
      <w:pPr>
        <w:ind w:left="0" w:right="0" w:firstLine="576"/>
      </w:pPr>
    </w:p>
    <w:p>
      <w:pPr>
        <w:spacing w:before="480" w:after="0" w:line="408" w:lineRule="exact"/>
      </w:pPr>
      <w:r>
        <w:rPr>
          <w:b/>
          <w:u w:val="single"/>
        </w:rPr>
        <w:t xml:space="preserve">SHB 1100</w:t>
      </w:r>
      <w:r>
        <w:t xml:space="preserve"> -</w:t>
      </w:r>
      <w:r>
        <w:t xml:space="preserve"> </w:t>
        <w:t xml:space="preserve">H AMD</w:t>
      </w:r>
      <w:r>
        <w:t xml:space="preserve"> </w:t>
      </w:r>
      <w:r>
        <w:rPr>
          <w:b/>
        </w:rPr>
        <w:t xml:space="preserve">544</w:t>
      </w:r>
    </w:p>
    <w:p>
      <w:pPr>
        <w:ind w:left="0" w:right="0" w:firstLine="360"/>
        <w:jc w:val="both"/>
      </w:pPr>
      <w:r>
        <w:rPr/>
        <w:t xml:space="preserve">By Representative Morris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ind w:left="0" w:right="0" w:firstLine="360"/>
        <w:jc w:val="both"/>
      </w:pPr>
      <w:r>
        <w:rPr/>
        <w:t xml:space="preserve">(2) "Bottle-type water dispenser" means a water dispenser that uses a bottle or reservoir as the source of potable water.</w:t>
      </w:r>
    </w:p>
    <w:p>
      <w:pPr>
        <w:ind w:left="0" w:right="0" w:firstLine="360"/>
        <w:jc w:val="both"/>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ind w:left="0" w:right="0" w:firstLine="360"/>
        <w:jc w:val="both"/>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ind w:left="0" w:right="0" w:firstLine="360"/>
        <w:jc w:val="both"/>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ind w:left="0" w:right="0" w:firstLine="360"/>
        <w:jc w:val="both"/>
      </w:pPr>
      <w:r>
        <w:rPr/>
        <w:t xml:space="preserve">(5) "Compensation" means money or any other valuable thing, regardless of form, received or to be received by a person for services rendered.</w:t>
      </w:r>
    </w:p>
    <w:p>
      <w:pPr>
        <w:ind w:left="0" w:right="0" w:firstLine="360"/>
        <w:jc w:val="both"/>
      </w:pPr>
      <w:r>
        <w:rPr/>
        <w:t xml:space="preserve">(6) "Cook and hold appliance" means a multiple mode appliance intended for cooking food that may be used to hold the temperature of the food that has been cooked in the same appliance.</w:t>
      </w:r>
    </w:p>
    <w:p>
      <w:pPr>
        <w:ind w:left="0" w:right="0" w:firstLine="360"/>
        <w:jc w:val="both"/>
      </w:pPr>
      <w:r>
        <w:rPr/>
        <w:t xml:space="preserve">(7) "Department" means the department of commerce.</w:t>
      </w:r>
    </w:p>
    <w:p>
      <w:pPr>
        <w:ind w:left="0" w:right="0" w:firstLine="360"/>
        <w:jc w:val="both"/>
      </w:pPr>
      <w:r>
        <w:rPr/>
        <w:t xml:space="preserve">(8) "Drawer warmer" means an appliance that consists of one or more heated drawers and that is designed to hold hot food that has been cooked in a separate appliance at a specified temperature.</w:t>
      </w:r>
    </w:p>
    <w:p>
      <w:pPr>
        <w:ind w:left="0" w:right="0" w:firstLine="360"/>
        <w:jc w:val="both"/>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ind w:left="0" w:right="0" w:firstLine="360"/>
        <w:jc w:val="both"/>
      </w:pPr>
      <w:r>
        <w:rPr/>
        <w:t xml:space="preserve">(10) "Hot water dispenser" means a small electric water heater that has a measured storage volume of no greater than one gallon.</w:t>
      </w:r>
    </w:p>
    <w:p>
      <w:pPr>
        <w:ind w:left="0" w:right="0" w:firstLine="360"/>
        <w:jc w:val="both"/>
      </w:pPr>
      <w:r>
        <w:rPr/>
        <w:t xml:space="preserve">(11) "Mini-tank electric water heater" means a small electric water heater that has a measured storage volume of more than one gallon and a rated storage volume of less than twenty gallons.</w:t>
      </w:r>
    </w:p>
    <w:p>
      <w:pPr>
        <w:ind w:left="0" w:right="0" w:firstLine="360"/>
        <w:jc w:val="both"/>
      </w:pPr>
      <w:r>
        <w:rPr/>
        <w:t xml:space="preserve">(12) "Pass-through cabinet" means a commercial refrigerator or freezer with hinged or sliding doors on both the front and rear of the unit.</w:t>
      </w:r>
    </w:p>
    <w:p>
      <w:pPr>
        <w:ind w:left="0" w:right="0" w:firstLine="360"/>
        <w:jc w:val="both"/>
      </w:pPr>
      <w:r>
        <w:rPr/>
        <w:t xml:space="preserve">(13) "Point-of-use water dispenser" means a water dispenser that uses a pressurized water utility connection as the source of potable water.</w:t>
      </w:r>
    </w:p>
    <w:p>
      <w:pPr>
        <w:ind w:left="0" w:right="0" w:firstLine="360"/>
        <w:jc w:val="both"/>
      </w:pPr>
      <w:r>
        <w:rPr/>
        <w:t xml:space="preserve">(14) "Pool heater" means an appliance designed for heating nonpotable water contained at atmospheric pressure for swimming pools, spas, hot tubs, and similar applications.</w:t>
      </w:r>
    </w:p>
    <w:p>
      <w:pPr>
        <w:ind w:left="0" w:right="0" w:firstLine="360"/>
        <w:jc w:val="both"/>
      </w:pPr>
      <w:r>
        <w:rPr/>
        <w:t xml:space="preserve">(15) "Portable electric spa" means a factory-built electric spa or hot tub, supplied with equipment for heating and circulating water.</w:t>
      </w:r>
    </w:p>
    <w:p>
      <w:pPr>
        <w:ind w:left="0" w:right="0" w:firstLine="360"/>
        <w:jc w:val="both"/>
      </w:pPr>
      <w:r>
        <w:rPr/>
        <w:t xml:space="preserve">(16) "Reach-in cabinet" means a commercial refrigerator or freezer with hinged or sliding doors or lids, but does not include roll-in or roll-through cabinets or pass-through cabinets.</w:t>
      </w:r>
    </w:p>
    <w:p>
      <w:pPr>
        <w:ind w:left="0" w:right="0" w:firstLine="360"/>
        <w:jc w:val="both"/>
      </w:pPr>
      <w:r>
        <w:rPr/>
        <w:t xml:space="preserve">(17) "Residential pool pump" means a pump used to circulate and filter pool water in order to maintain clarity and sanitation.</w:t>
      </w:r>
    </w:p>
    <w:p>
      <w:pPr>
        <w:ind w:left="0" w:right="0" w:firstLine="360"/>
        <w:jc w:val="both"/>
      </w:pPr>
      <w:r>
        <w:rPr/>
        <w:t xml:space="preserve">(18)(a) "Roll-in cabinet" means a commercial refrigerator or freezer with hinged or sliding doors that allow wheeled racks of product to be rolled into the unit.</w:t>
      </w:r>
    </w:p>
    <w:p>
      <w:pPr>
        <w:ind w:left="0" w:right="0" w:firstLine="360"/>
        <w:jc w:val="both"/>
      </w:pPr>
      <w:r>
        <w:rPr/>
        <w:t xml:space="preserve">(b) "Roll-through cabinet" means a commercial refrigerator or freezer with hinged or sliding doors on two sides of the cabinet that allow wheeled racks of product to be rolled through the unit.</w:t>
      </w:r>
    </w:p>
    <w:p>
      <w:pPr>
        <w:ind w:left="0" w:right="0" w:firstLine="360"/>
        <w:jc w:val="both"/>
      </w:pPr>
      <w:r>
        <w:rPr/>
        <w:t xml:space="preserve">(19) "Showerhead" means a device through which water is discharged for a shower bath.</w:t>
      </w:r>
    </w:p>
    <w:p>
      <w:pPr>
        <w:ind w:left="0" w:right="0" w:firstLine="360"/>
        <w:jc w:val="both"/>
      </w:pPr>
      <w:r>
        <w:rPr/>
        <w:t xml:space="preserve">(20) "Showerhead tub spout diverter combination" means a group of plumbing fittings sold as a matched set and consisting of a control valve, a tub spout diverter, and a showerhead.</w:t>
      </w:r>
    </w:p>
    <w:p>
      <w:pPr>
        <w:ind w:left="0" w:right="0" w:firstLine="360"/>
        <w:jc w:val="both"/>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ind w:left="0" w:right="0" w:firstLine="360"/>
        <w:jc w:val="both"/>
      </w:pPr>
      <w:r>
        <w:rPr/>
        <w:t xml:space="preserve">(a) A bulged reflector or elliptical reflector bulb shape and which has a diameter which equals or exceeds 2.25 inches; or</w:t>
      </w:r>
    </w:p>
    <w:p>
      <w:pPr>
        <w:ind w:left="0" w:right="0" w:firstLine="360"/>
        <w:jc w:val="both"/>
      </w:pPr>
      <w:r>
        <w:rPr/>
        <w:t xml:space="preserve">(b) A reflector, parabolic aluminized reflector, or similar bulb shape and which has a diameter of 2.25 to 2.75 inches.</w:t>
      </w:r>
    </w:p>
    <w:p>
      <w:pPr>
        <w:ind w:left="0" w:right="0" w:firstLine="360"/>
        <w:jc w:val="both"/>
      </w:pPr>
      <w:r>
        <w:rPr/>
        <w:t xml:space="preserve">(22) "Tub spout diverter" means a device designed to stop the flow of water into a bathtub and to divert it so that the water discharges through a showerhead.</w:t>
      </w:r>
    </w:p>
    <w:p>
      <w:pPr>
        <w:ind w:left="0" w:right="0" w:firstLine="360"/>
        <w:jc w:val="both"/>
      </w:pPr>
      <w:r>
        <w:rPr/>
        <w:t xml:space="preserve">(23) "Wine chillers designed and sold for use by an individual" means refrigerators designed and sold for the cooling and storage of wine by an individual.</w:t>
      </w:r>
    </w:p>
    <w:p>
      <w:pPr>
        <w:ind w:left="0" w:right="0" w:firstLine="360"/>
        <w:jc w:val="both"/>
      </w:pPr>
      <w:r>
        <w:rPr>
          <w:u w:val="single"/>
        </w:rPr>
        <w:t xml:space="preserve">(24) "À la carte charger" means a battery charger that is individually packaged without batteries. "À la carte charger" includes those with multivoltage or multiport capabilities.</w:t>
      </w:r>
    </w:p>
    <w:p>
      <w:pPr>
        <w:ind w:left="0" w:right="0" w:firstLine="360"/>
        <w:jc w:val="both"/>
      </w:pPr>
      <w:r>
        <w:rPr>
          <w:u w:val="single"/>
        </w:rPr>
        <w:t xml:space="preserve">(25) "Battery analyzer" means a device:</w:t>
      </w:r>
    </w:p>
    <w:p>
      <w:pPr>
        <w:ind w:left="0" w:right="0" w:firstLine="360"/>
        <w:jc w:val="both"/>
      </w:pPr>
      <w:r>
        <w:rPr>
          <w:u w:val="single"/>
        </w:rPr>
        <w:t xml:space="preserve">(a) Used to analyze and report a battery's performance and overall condition;</w:t>
      </w:r>
    </w:p>
    <w:p>
      <w:pPr>
        <w:ind w:left="0" w:right="0" w:firstLine="360"/>
        <w:jc w:val="both"/>
      </w:pPr>
      <w:r>
        <w:rPr>
          <w:u w:val="single"/>
        </w:rPr>
        <w:t xml:space="preserve">(b) Capable of being programmed and performing service functions to restore capability in deficient batteries; and</w:t>
      </w:r>
    </w:p>
    <w:p>
      <w:pPr>
        <w:ind w:left="0" w:right="0" w:firstLine="360"/>
        <w:jc w:val="both"/>
      </w:pPr>
      <w:r>
        <w:rPr>
          <w:u w:val="single"/>
        </w:rPr>
        <w:t xml:space="preserve">(c) Not intended or marketed to be used on a daily basis for the purpose of charging batteries.</w:t>
      </w:r>
    </w:p>
    <w:p>
      <w:pPr>
        <w:ind w:left="0" w:right="0" w:firstLine="360"/>
        <w:jc w:val="both"/>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ind w:left="0" w:right="0" w:firstLine="360"/>
        <w:jc w:val="both"/>
      </w:pPr>
      <w:r>
        <w:rPr>
          <w:u w:val="single"/>
        </w:rPr>
        <w:t xml:space="preserve">(27) "Battery charger systems" means a battery charger coupled with its batteries or battery chargers coupled with their batteries, which together are referred to as battery charger systems, including all rechargeable batteries or devices incorporating a rechargeable battery and the chargers used with them. Battery charger systems include, but are not limited to:</w:t>
      </w:r>
    </w:p>
    <w:p>
      <w:pPr>
        <w:ind w:left="0" w:right="0" w:firstLine="360"/>
        <w:jc w:val="both"/>
      </w:pPr>
      <w:r>
        <w:rPr>
          <w:u w:val="single"/>
        </w:rPr>
        <w:t xml:space="preserve">(a) Electronic devices with a battery that are normally charged with AC line voltage or DC input voltage through an internal or external power supply and a dedicated battery charger;</w:t>
      </w:r>
    </w:p>
    <w:p>
      <w:pPr>
        <w:ind w:left="0" w:right="0" w:firstLine="360"/>
        <w:jc w:val="both"/>
      </w:pPr>
      <w:r>
        <w:rPr>
          <w:u w:val="single"/>
        </w:rPr>
        <w:t xml:space="preserve">(b) The battery and battery charger components of devices that are designed to run on battery power during part or all of their operations;</w:t>
      </w:r>
    </w:p>
    <w:p>
      <w:pPr>
        <w:ind w:left="0" w:right="0" w:firstLine="360"/>
        <w:jc w:val="both"/>
      </w:pPr>
      <w:r>
        <w:rPr>
          <w:u w:val="single"/>
        </w:rPr>
        <w:t xml:space="preserve">(c) Dedicated battery systems primarily designed for electrical or emergency backup; and</w:t>
      </w:r>
    </w:p>
    <w:p>
      <w:pPr>
        <w:ind w:left="0" w:right="0" w:firstLine="360"/>
        <w:jc w:val="both"/>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ind w:left="0" w:right="0" w:firstLine="360"/>
        <w:jc w:val="both"/>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ind w:left="0" w:right="0" w:firstLine="360"/>
        <w:jc w:val="both"/>
      </w:pPr>
      <w:r>
        <w:rPr>
          <w:u w:val="single"/>
        </w:rPr>
        <w:t xml:space="preserve">(29) "Illuminated exit sign" means:</w:t>
      </w:r>
    </w:p>
    <w:p>
      <w:pPr>
        <w:ind w:left="0" w:right="0" w:firstLine="360"/>
        <w:jc w:val="both"/>
      </w:pPr>
      <w:r>
        <w:rPr>
          <w:u w:val="single"/>
        </w:rPr>
        <w:t xml:space="preserve">(a) A sign that is designed to be permanently fixed in place to identify an exit, including those products that are a combination illuminated exit sign and emergency egress lighting; and</w:t>
      </w:r>
    </w:p>
    <w:p>
      <w:pPr>
        <w:ind w:left="0" w:right="0" w:firstLine="360"/>
        <w:jc w:val="both"/>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ind w:left="0" w:right="0" w:firstLine="360"/>
        <w:jc w:val="both"/>
      </w:pPr>
      <w:r>
        <w:rPr>
          <w:u w:val="single"/>
        </w:rPr>
        <w:t xml:space="preserve">(30) "Large battery charger system" means a battery charger system, other than a battery charger system for golf carts, with a rated input power of more than two kilowatts.</w:t>
      </w:r>
    </w:p>
    <w:p>
      <w:pPr>
        <w:ind w:left="0" w:right="0" w:firstLine="360"/>
        <w:jc w:val="both"/>
      </w:pPr>
      <w:r>
        <w:rPr>
          <w:u w:val="single"/>
        </w:rPr>
        <w:t xml:space="preserve">(31) "Small battery charger system" means a battery charger system with a rated input power of two kilowatts or less, and includes golf cart battery charger systems regardless of the output power.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ind w:left="0" w:right="0" w:firstLine="360"/>
        <w:jc w:val="both"/>
      </w:pPr>
      <w:r>
        <w:rPr/>
        <w:t xml:space="preserve">(1) This chapter applies to the following types of new products sold, offered for sale, or installed in the state:</w:t>
      </w:r>
    </w:p>
    <w:p>
      <w:pPr>
        <w:ind w:left="0" w:right="0" w:firstLine="360"/>
        <w:jc w:val="both"/>
      </w:pPr>
      <w:r>
        <w:rPr/>
        <w:t xml:space="preserve">(a) Automatic commercial ice cube machines;</w:t>
      </w:r>
    </w:p>
    <w:p>
      <w:pPr>
        <w:ind w:left="0" w:right="0" w:firstLine="360"/>
        <w:jc w:val="both"/>
      </w:pPr>
      <w:r>
        <w:rPr/>
        <w:t xml:space="preserve">(b) Commercial refrigerators and freezers; </w:t>
      </w:r>
    </w:p>
    <w:p>
      <w:pPr>
        <w:ind w:left="0" w:right="0" w:firstLine="360"/>
        <w:jc w:val="both"/>
      </w:pPr>
      <w:r>
        <w:rPr/>
        <w:t xml:space="preserve">(c) State-regulated incandescent reflector lamps; </w:t>
      </w:r>
    </w:p>
    <w:p>
      <w:pPr>
        <w:ind w:left="0" w:right="0" w:firstLine="360"/>
        <w:jc w:val="both"/>
      </w:pPr>
      <w:r>
        <w:rPr/>
        <w:t xml:space="preserve">(d) Wine chillers designed and sold for use by an individual;</w:t>
      </w:r>
    </w:p>
    <w:p>
      <w:pPr>
        <w:ind w:left="0" w:right="0" w:firstLine="360"/>
        <w:jc w:val="both"/>
      </w:pPr>
      <w:r>
        <w:rPr/>
        <w:t xml:space="preserve">(e) Hot water dispensers and mini-tank electric water heaters;</w:t>
      </w:r>
    </w:p>
    <w:p>
      <w:pPr>
        <w:ind w:left="0" w:right="0" w:firstLine="360"/>
        <w:jc w:val="both"/>
      </w:pPr>
      <w:r>
        <w:rPr/>
        <w:t xml:space="preserve">(f) Bottle-type water dispensers and point-of</w:t>
      </w:r>
      <w:r>
        <w:rPr/>
        <w:noBreakHyphen/>
      </w:r>
      <w:r>
        <w:rPr/>
        <w:t xml:space="preserve">use water dispensers;</w:t>
      </w:r>
    </w:p>
    <w:p>
      <w:pPr>
        <w:ind w:left="0" w:right="0" w:firstLine="360"/>
        <w:jc w:val="both"/>
      </w:pPr>
      <w:r>
        <w:rPr/>
        <w:t xml:space="preserve">(g) Pool heaters, residential pool pumps, and portable electric spas;</w:t>
      </w:r>
    </w:p>
    <w:p>
      <w:pPr>
        <w:ind w:left="0" w:right="0" w:firstLine="360"/>
        <w:jc w:val="both"/>
      </w:pPr>
      <w:r>
        <w:rPr/>
        <w:t xml:space="preserve">(h) Tub spout diverters; </w:t>
      </w:r>
      <w:r>
        <w:t>((</w:t>
      </w:r>
      <w:r>
        <w:rPr>
          <w:strike/>
        </w:rPr>
        <w:t xml:space="preserve">and</w:t>
      </w:r>
      <w:r>
        <w:t>))</w:t>
      </w:r>
    </w:p>
    <w:p>
      <w:pPr>
        <w:ind w:left="0" w:right="0" w:firstLine="360"/>
        <w:jc w:val="both"/>
      </w:pPr>
      <w:r>
        <w:rPr/>
        <w:t xml:space="preserve">(i) Commercial hot food holding cabinets</w:t>
      </w:r>
      <w:r>
        <w:rPr>
          <w:u w:val="single"/>
        </w:rPr>
        <w:t xml:space="preserve">; and</w:t>
      </w:r>
    </w:p>
    <w:p>
      <w:pPr>
        <w:ind w:left="0" w:right="0" w:firstLine="360"/>
        <w:jc w:val="both"/>
      </w:pPr>
      <w:r>
        <w:rPr>
          <w:u w:val="single"/>
        </w:rPr>
        <w:t xml:space="preserve">(j) Battery charger systems, except those:</w:t>
      </w:r>
    </w:p>
    <w:p>
      <w:pPr>
        <w:ind w:left="0" w:right="0" w:firstLine="360"/>
        <w:jc w:val="both"/>
      </w:pPr>
      <w:r>
        <w:rPr>
          <w:u w:val="single"/>
        </w:rPr>
        <w:t xml:space="preserve">(i) Used to charge golf carts;</w:t>
      </w:r>
    </w:p>
    <w:p>
      <w:pPr>
        <w:ind w:left="0" w:right="0" w:firstLine="360"/>
        <w:jc w:val="both"/>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ind w:left="0" w:right="0" w:firstLine="360"/>
        <w:jc w:val="both"/>
      </w:pPr>
      <w:r>
        <w:rPr>
          <w:u w:val="single"/>
        </w:rPr>
        <w:t xml:space="preserve">(iii) Used to charge a battery or batteries in an illuminated exit sign;</w:t>
      </w:r>
    </w:p>
    <w:p>
      <w:pPr>
        <w:ind w:left="0" w:right="0" w:firstLine="360"/>
        <w:jc w:val="both"/>
      </w:pPr>
      <w:r>
        <w:rPr>
          <w:u w:val="single"/>
        </w:rPr>
        <w:t xml:space="preserve">(iv) With input that is three phase of line-to-line three hundred volts root mean square or more and is designed for a stationary power application;</w:t>
      </w:r>
    </w:p>
    <w:p>
      <w:pPr>
        <w:ind w:left="0" w:right="0" w:firstLine="360"/>
        <w:jc w:val="both"/>
      </w:pPr>
      <w:r>
        <w:rPr>
          <w:u w:val="single"/>
        </w:rPr>
        <w:t xml:space="preserve">(v) That are battery analyzers;</w:t>
      </w:r>
    </w:p>
    <w:p>
      <w:pPr>
        <w:ind w:left="0" w:right="0" w:firstLine="360"/>
        <w:jc w:val="both"/>
      </w:pPr>
      <w:r>
        <w:rPr>
          <w:u w:val="single"/>
        </w:rPr>
        <w:t xml:space="preserve">(vi) That are voltage independent or voltage and frequency independent uninterruptible power supplies as defined by the international electrotechnical commission 62040-3 ed.2.0 as of the effective date of this section; or</w:t>
      </w:r>
    </w:p>
    <w:p>
      <w:pPr>
        <w:ind w:left="0" w:right="0" w:firstLine="360"/>
        <w:jc w:val="both"/>
      </w:pPr>
      <w:r>
        <w:rPr>
          <w:u w:val="single"/>
        </w:rPr>
        <w:t xml:space="preserve">(vii) Used to charge larger industrial motive equipment, such as fork lifts, burden carriers, or person carriers</w:t>
      </w:r>
      <w:r>
        <w:rPr/>
        <w:t xml:space="preserve">.</w:t>
      </w:r>
    </w:p>
    <w:p>
      <w:pPr>
        <w:ind w:left="0" w:right="0" w:firstLine="360"/>
        <w:jc w:val="both"/>
      </w:pPr>
      <w:r>
        <w:rPr/>
        <w:t xml:space="preserve">(2) This chapter applies equally to products whether they are sold, offered for sale, or installed as stand-alone products or as components of other products.</w:t>
      </w:r>
    </w:p>
    <w:p>
      <w:pPr>
        <w:ind w:left="0" w:right="0" w:firstLine="360"/>
        <w:jc w:val="both"/>
      </w:pPr>
      <w:r>
        <w:rPr/>
        <w:t xml:space="preserve">(3) This chapter does not apply to:</w:t>
      </w:r>
    </w:p>
    <w:p>
      <w:pPr>
        <w:ind w:left="0" w:right="0" w:firstLine="360"/>
        <w:jc w:val="both"/>
      </w:pPr>
      <w:r>
        <w:rPr/>
        <w:t xml:space="preserve">(a) New products manufactured in the state and sold outside the state;</w:t>
      </w:r>
    </w:p>
    <w:p>
      <w:pPr>
        <w:ind w:left="0" w:right="0" w:firstLine="360"/>
        <w:jc w:val="both"/>
      </w:pPr>
      <w:r>
        <w:rPr/>
        <w:t xml:space="preserve">(b) New products manufactured outside the state and sold at wholesale inside the state for final retail sale and installation outside the state;</w:t>
      </w:r>
    </w:p>
    <w:p>
      <w:pPr>
        <w:ind w:left="0" w:right="0" w:firstLine="360"/>
        <w:jc w:val="both"/>
      </w:pPr>
      <w:r>
        <w:rPr/>
        <w:t xml:space="preserve">(c) Products installed in mobile manufactured homes at the time of construction; or</w:t>
      </w:r>
    </w:p>
    <w:p>
      <w:pPr>
        <w:ind w:left="0" w:right="0" w:firstLine="360"/>
        <w:jc w:val="both"/>
      </w:pPr>
      <w:r>
        <w:rPr/>
        <w:t xml:space="preserve">(d) Products designed expressly for installation and use in recreational vehicles.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ind w:left="0" w:right="0" w:firstLine="360"/>
        <w:jc w:val="both"/>
      </w:pPr>
      <w:r>
        <w:rPr/>
        <w:t xml:space="preserve">The minimum efficiency standards specified in this section apply to the types of new products set forth in RCW 19.260.030.</w:t>
      </w:r>
    </w:p>
    <w:p>
      <w:pPr>
        <w:ind w:left="0" w:right="0" w:firstLine="360"/>
        <w:jc w:val="both"/>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ind w:left="0" w:right="0" w:firstLine="0"/>
              <w:jc w:val="both"/>
            </w:pPr>
            <w:r>
              <w:rPr>
                <w:rFonts w:ascii="Times New Roman" w:hAnsi="Times New Roman"/>
                <w:sz w:val="20"/>
              </w:rPr>
              <w:t xml:space="preserve">Equipment type</w:t>
            </w:r>
          </w:p>
        </w:tc>
        <w:tc>
          <w:tcPr>
            <w:tcW w:w="1480" w:type="dxa"/>
            <w:vAlign w:val="bottom"/>
            <w:tcBorders>
              <w:bottom w:val="single"/>
            </w:tcBorders>
          </w:tcPr>
          <w:p>
            <w:pPr>
              <w:ind w:left="0" w:right="0" w:firstLine="0"/>
              <w:jc w:val="both"/>
            </w:pPr>
            <w:r>
              <w:rPr>
                <w:rFonts w:ascii="Times New Roman" w:hAnsi="Times New Roman"/>
                <w:sz w:val="20"/>
              </w:rPr>
              <w:t xml:space="preserve">Type of cooling</w:t>
            </w:r>
          </w:p>
        </w:tc>
        <w:tc>
          <w:tcPr>
            <w:tcW w:w="1860" w:type="dxa"/>
            <w:vAlign w:val="bottom"/>
            <w:tcBorders>
              <w:bottom w:val="single"/>
            </w:tcBorders>
          </w:tcPr>
          <w:p>
            <w:pPr>
              <w:ind w:left="0" w:right="0" w:firstLine="0"/>
              <w:jc w:val="both"/>
            </w:pPr>
            <w:r>
              <w:rPr>
                <w:rFonts w:ascii="Times New Roman" w:hAnsi="Times New Roman"/>
                <w:sz w:val="20"/>
              </w:rPr>
              <w:t xml:space="preserve">Harvest rate</w:t>
            </w:r>
          </w:p>
          <w:p>
            <w:pPr>
              <w:ind w:left="0" w:right="0" w:firstLine="0"/>
              <w:jc w:val="both"/>
            </w:pPr>
            <w:r>
              <w:rPr>
                <w:rFonts w:ascii="Times New Roman" w:hAnsi="Times New Roman"/>
                <w:sz w:val="20"/>
              </w:rPr>
              <w:t xml:space="preserve">(lbs. ice/24 hrs.)</w:t>
            </w:r>
          </w:p>
        </w:tc>
        <w:tc>
          <w:tcPr>
            <w:tcW w:w="1860" w:type="dxa"/>
            <w:vAlign w:val="bottom"/>
            <w:tcBorders>
              <w:bottom w:val="single"/>
            </w:tcBorders>
          </w:tcPr>
          <w:p>
            <w:pPr>
              <w:ind w:left="0" w:right="0" w:firstLine="0"/>
              <w:jc w:val="both"/>
            </w:pPr>
            <w:r>
              <w:rPr>
                <w:rFonts w:ascii="Times New Roman" w:hAnsi="Times New Roman"/>
                <w:sz w:val="20"/>
              </w:rPr>
              <w:t xml:space="preserve">Maximum</w:t>
            </w:r>
          </w:p>
          <w:p>
            <w:pPr>
              <w:ind w:left="0" w:right="0" w:firstLine="0"/>
              <w:jc w:val="both"/>
            </w:pPr>
            <w:r>
              <w:rPr>
                <w:rFonts w:ascii="Times New Roman" w:hAnsi="Times New Roman"/>
                <w:sz w:val="20"/>
              </w:rPr>
              <w:t xml:space="preserve">energy use</w:t>
            </w:r>
          </w:p>
          <w:p>
            <w:pPr>
              <w:ind w:left="0" w:right="0" w:firstLine="0"/>
              <w:jc w:val="both"/>
            </w:pPr>
            <w:r>
              <w:rPr>
                <w:rFonts w:ascii="Times New Roman" w:hAnsi="Times New Roman"/>
                <w:sz w:val="20"/>
              </w:rPr>
              <w:t xml:space="preserve">(kWh/100 lbs.)</w:t>
            </w:r>
          </w:p>
        </w:tc>
        <w:tc>
          <w:tcPr>
            <w:tcW w:w="2560" w:type="dxa"/>
            <w:vAlign w:val="bottom"/>
            <w:tcBorders>
              <w:bottom w:val="single"/>
            </w:tcBorders>
          </w:tcPr>
          <w:p>
            <w:pPr>
              <w:ind w:left="0" w:right="0" w:firstLine="0"/>
              <w:jc w:val="both"/>
            </w:pPr>
            <w:r>
              <w:rPr>
                <w:rFonts w:ascii="Times New Roman" w:hAnsi="Times New Roman"/>
                <w:sz w:val="20"/>
              </w:rPr>
              <w:t xml:space="preserve">Maximum condenser</w:t>
            </w:r>
          </w:p>
          <w:p>
            <w:pPr>
              <w:ind w:left="0" w:right="0" w:firstLine="0"/>
              <w:jc w:val="both"/>
            </w:pPr>
            <w:r>
              <w:rPr>
                <w:rFonts w:ascii="Times New Roman" w:hAnsi="Times New Roman"/>
                <w:sz w:val="20"/>
              </w:rPr>
              <w:t xml:space="preserve">water use</w:t>
            </w:r>
          </w:p>
          <w:p>
            <w:pPr>
              <w:ind w:left="0" w:right="0" w:firstLine="0"/>
              <w:jc w:val="both"/>
            </w:pPr>
            <w:r>
              <w:rPr>
                <w:rFonts w:ascii="Times New Roman" w:hAnsi="Times New Roman"/>
                <w:sz w:val="20"/>
              </w:rPr>
              <w:t xml:space="preserve">(gallons/100 lbs. ice)</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7.80 - .0055H</w:t>
            </w:r>
          </w:p>
        </w:tc>
        <w:tc>
          <w:tcPr>
            <w:tcW w:w="25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5.58 - .0011H</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4.0</w:t>
            </w:r>
          </w:p>
        </w:tc>
        <w:tc>
          <w:tcPr>
            <w:tcW w:w="1860" w:type="dxa"/>
            <w:vAlign w:val="top"/>
            <w:tcBorders>
              <w:bottom w:val="single"/>
            </w:tcBorders>
          </w:tcPr>
          <w:p>
            <w:pPr>
              <w:ind w:left="0" w:right="0" w:firstLine="0"/>
              <w:jc w:val="both"/>
            </w:pPr>
            <w:r>
              <w:rPr>
                <w:rFonts w:ascii="Times New Roman" w:hAnsi="Times New Roman"/>
                <w:sz w:val="20"/>
              </w:rPr>
              <w:t xml:space="preserve">200 - .022H</w:t>
            </w:r>
          </w:p>
        </w:tc>
      </w:tr>
      <w:tr>
        <w:tc>
          <w:tcPr>
            <w:tcW w:w="2400" w:type="dxa"/>
            <w:vAlign w:val="top"/>
            <w:tcBorders>
              <w:bottom w:val="single"/>
            </w:tcBorders>
          </w:tcPr>
          <w:p>
            <w:pPr>
              <w:ind w:left="0" w:right="0" w:firstLine="0"/>
              <w:jc w:val="both"/>
            </w:pPr>
            <w:r>
              <w:rPr>
                <w:rFonts w:ascii="Times New Roman" w:hAnsi="Times New Roman"/>
                <w:sz w:val="20"/>
              </w:rPr>
              <w:t xml:space="preserve">Ice-making head</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10.26 - .0086H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6.89 - .0011H</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5.10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8.85 - .0038H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5.3</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water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11.40 - .0190H</w:t>
            </w:r>
          </w:p>
        </w:tc>
        <w:tc>
          <w:tcPr>
            <w:tcW w:w="2560" w:type="dxa"/>
            <w:vAlign w:val="top"/>
            <w:tcBorders>
              <w:bottom w:val="single"/>
            </w:tcBorders>
          </w:tcPr>
          <w:p>
            <w:pPr>
              <w:ind w:left="0" w:right="0" w:firstLine="0"/>
              <w:jc w:val="both"/>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7.60</w:t>
            </w:r>
          </w:p>
        </w:tc>
        <w:tc>
          <w:tcPr>
            <w:tcW w:w="1860" w:type="dxa"/>
            <w:vAlign w:val="top"/>
            <w:tcBorders>
              <w:bottom w:val="single"/>
            </w:tcBorders>
          </w:tcPr>
          <w:p>
            <w:pPr>
              <w:ind w:left="0" w:right="0" w:firstLine="0"/>
              <w:jc w:val="both"/>
            </w:pPr>
            <w:r>
              <w:rPr>
                <w:rFonts w:ascii="Times New Roman" w:hAnsi="Times New Roman"/>
                <w:sz w:val="20"/>
              </w:rPr>
              <w:t xml:space="preserve">191 - .0315H</w:t>
            </w:r>
          </w:p>
        </w:tc>
      </w:tr>
      <w:tr>
        <w:tc>
          <w:tcPr>
            <w:tcW w:w="2400" w:type="dxa"/>
            <w:vAlign w:val="top"/>
            <w:tcBorders>
              <w:bottom w:val="single"/>
            </w:tcBorders>
          </w:tcPr>
          <w:p>
            <w:pPr>
              <w:ind w:left="0" w:right="0" w:firstLine="0"/>
              <w:jc w:val="both"/>
            </w:pPr>
            <w:r>
              <w:rPr>
                <w:rFonts w:ascii="Times New Roman" w:hAnsi="Times New Roman"/>
                <w:sz w:val="20"/>
              </w:rPr>
              <w:t xml:space="preserve">Self-contained models</w:t>
            </w:r>
          </w:p>
        </w:tc>
        <w:tc>
          <w:tcPr>
            <w:tcW w:w="1480" w:type="dxa"/>
            <w:vAlign w:val="top"/>
            <w:tcBorders>
              <w:bottom w:val="single"/>
            </w:tcBorders>
            <w:tcBorders>
              <w:left w:val="single"/>
            </w:tcBorders>
          </w:tcPr>
          <w:p>
            <w:pPr>
              <w:ind w:left="0" w:right="0" w:firstLine="0"/>
              <w:jc w:val="both"/>
            </w:pPr>
            <w:r>
              <w:rPr>
                <w:rFonts w:ascii="Times New Roman" w:hAnsi="Times New Roman"/>
                <w:sz w:val="20"/>
              </w:rPr>
              <w:t xml:space="preserve">air</w:t>
            </w:r>
          </w:p>
        </w:tc>
        <w:tc>
          <w:tcPr>
            <w:tcW w:w="1860" w:type="dxa"/>
            <w:vAlign w:val="top"/>
            <w:tcBorders>
              <w:bottom w:val="single"/>
            </w:tcBorders>
            <w:tcBorders>
              <w:left w:val="single"/>
            </w:tcBorders>
          </w:tcPr>
          <w:p>
            <w:pPr>
              <w:ind w:left="0" w:right="0" w:firstLine="0"/>
              <w:jc w:val="both"/>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18.0 - .0469H</w:t>
            </w:r>
          </w:p>
        </w:tc>
        <w:tc>
          <w:tcPr>
            <w:tcW w:w="2560" w:type="dxa"/>
            <w:vAlign w:val="top"/>
            <w:tcBorders>
              <w:bottom w:val="single"/>
            </w:tcBorders>
          </w:tcPr>
          <w:p>
            <w:pPr>
              <w:ind w:left="0" w:right="0" w:firstLine="0"/>
              <w:jc w:val="both"/>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ind w:left="0" w:right="0" w:firstLine="0"/>
              <w:jc w:val="both"/>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9.80</w:t>
            </w:r>
          </w:p>
        </w:tc>
        <w:tc>
          <w:tcPr>
            <w:tcW w:w="1860" w:type="dxa"/>
            <w:vAlign w:val="top"/>
            <w:tcBorders>
              <w:bottom w:val="single"/>
            </w:tcBorders>
          </w:tcPr>
          <w:p>
            <w:pPr>
              <w:ind w:left="0" w:right="0" w:firstLine="0"/>
              <w:jc w:val="both"/>
            </w:pPr>
            <w:r>
              <w:rPr>
                <w:rFonts w:ascii="Times New Roman" w:hAnsi="Times New Roman"/>
                <w:sz w:val="20"/>
              </w:rPr>
              <w:t xml:space="preserve">Not applicable</w:t>
            </w:r>
          </w:p>
        </w:tc>
      </w:tr>
      <w:tr>
        <w:tc>
          <w:tcPr>
            <w:gridSpan w:val="5"/>
            <w:tcW w:w="10160" w:type="dxa"/>
            <w:vAlign w:val="top"/>
          </w:tcPr>
          <w:p>
            <w:pPr>
              <w:ind w:left="0" w:right="0" w:firstLine="0"/>
              <w:jc w:val="both"/>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ind w:left="0" w:right="0" w:firstLine="360"/>
        <w:jc w:val="both"/>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ind w:left="0" w:right="0" w:firstLine="360"/>
        <w:jc w:val="both"/>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ind w:left="0" w:right="0" w:firstLine="0"/>
              <w:jc w:val="both"/>
            </w:pPr>
            <w:r>
              <w:rPr>
                <w:rFonts w:ascii="Times New Roman" w:hAnsi="Times New Roman"/>
                <w:sz w:val="20"/>
              </w:rPr>
              <w:t xml:space="preserve">Equipment Type</w:t>
            </w:r>
          </w:p>
        </w:tc>
        <w:tc>
          <w:tcPr>
            <w:tcW w:w="1380" w:type="dxa"/>
            <w:vAlign w:val="top"/>
            <w:tcBorders>
              <w:bottom w:val="single"/>
            </w:tcBorders>
          </w:tcPr>
          <w:p>
            <w:pPr>
              <w:ind w:left="0" w:right="0" w:firstLine="0"/>
              <w:jc w:val="both"/>
            </w:pPr>
            <w:r>
              <w:rPr>
                <w:rFonts w:ascii="Times New Roman" w:hAnsi="Times New Roman"/>
                <w:sz w:val="20"/>
              </w:rPr>
              <w:t xml:space="preserve">Doors</w:t>
            </w:r>
          </w:p>
        </w:tc>
        <w:tc>
          <w:tcPr>
            <w:tcW w:w="4340" w:type="dxa"/>
            <w:vAlign w:val="top"/>
            <w:tcBorders>
              <w:bottom w:val="single"/>
            </w:tcBorders>
          </w:tcPr>
          <w:p>
            <w:pPr>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4340" w:type="dxa"/>
            <w:vAlign w:val="top"/>
            <w:tcBorders>
              <w:bottom w:val="single"/>
            </w:tcBorders>
          </w:tcPr>
          <w:p>
            <w:pPr>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Transparent</w:t>
            </w:r>
          </w:p>
        </w:tc>
        <w:tc>
          <w:tcPr>
            <w:tcW w:w="1380" w:type="dxa"/>
            <w:vAlign w:val="top"/>
            <w:tcBorders>
              <w:bottom w:val="single"/>
            </w:tcBorders>
          </w:tcPr>
          <w:p>
            <w:pPr>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ind w:left="0" w:right="0" w:firstLine="0"/>
              <w:jc w:val="both"/>
            </w:pPr>
            <w:r>
              <w:rPr>
                <w:rFonts w:ascii="Times New Roman" w:hAnsi="Times New Roman"/>
                <w:sz w:val="20"/>
              </w:rPr>
              <w:t xml:space="preserve">Reach-in cabinets that are refrigerator-freezers</w:t>
            </w:r>
          </w:p>
          <w:p>
            <w:pPr>
              <w:ind w:left="0" w:right="0" w:firstLine="0"/>
              <w:jc w:val="both"/>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Solid</w:t>
            </w:r>
          </w:p>
        </w:tc>
        <w:tc>
          <w:tcPr>
            <w:tcW w:w="4340" w:type="dxa"/>
            <w:vAlign w:val="top"/>
            <w:tcBorders>
              <w:bottom w:val="single"/>
            </w:tcBorders>
          </w:tcPr>
          <w:p>
            <w:pPr>
              <w:ind w:left="0" w:right="0" w:firstLine="0"/>
              <w:jc w:val="center"/>
            </w:pPr>
            <w:r>
              <w:rPr>
                <w:rFonts w:ascii="Times New Roman" w:hAnsi="Times New Roman"/>
                <w:sz w:val="20"/>
              </w:rPr>
              <w:t xml:space="preserve">0.27AV - 0.71</w:t>
            </w:r>
          </w:p>
        </w:tc>
      </w:tr>
      <w:tr>
        <w:tc>
          <w:tcPr>
            <w:gridSpan w:val="3"/>
            <w:tcW w:w="10160" w:type="dxa"/>
            <w:vAlign w:val="top"/>
          </w:tcPr>
          <w:p>
            <w:pPr>
              <w:ind w:left="0" w:right="0" w:firstLine="0"/>
              <w:jc w:val="both"/>
            </w:pPr>
            <w:r>
              <w:rPr>
                <w:rFonts w:ascii="Times New Roman" w:hAnsi="Times New Roman"/>
                <w:sz w:val="20"/>
              </w:rPr>
              <w:t xml:space="preserve">kWh= kilowatt-hours</w:t>
            </w:r>
          </w:p>
          <w:p>
            <w:pPr>
              <w:ind w:left="0" w:right="0" w:firstLine="0"/>
              <w:jc w:val="both"/>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ind w:left="0" w:right="0" w:firstLine="0"/>
              <w:jc w:val="both"/>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ind w:left="0" w:right="0" w:firstLine="360"/>
        <w:jc w:val="both"/>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Refrigerator</w:t>
            </w:r>
          </w:p>
        </w:tc>
        <w:tc>
          <w:tcPr>
            <w:tcW w:w="6180" w:type="dxa"/>
            <w:vAlign w:val="top"/>
            <w:tcBorders>
              <w:bottom w:val="single"/>
            </w:tcBorders>
          </w:tcPr>
          <w:p>
            <w:pPr>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ind w:left="0" w:right="0" w:firstLine="0"/>
              <w:jc w:val="center"/>
            </w:pPr>
            <w:r>
              <w:rPr>
                <w:rFonts w:ascii="Times New Roman" w:hAnsi="Times New Roman"/>
                <w:sz w:val="20"/>
              </w:rPr>
              <w:t xml:space="preserve">Freezer</w:t>
            </w:r>
          </w:p>
        </w:tc>
        <w:tc>
          <w:tcPr>
            <w:tcW w:w="6180" w:type="dxa"/>
            <w:vAlign w:val="top"/>
            <w:tcBorders>
              <w:bottom w:val="single"/>
            </w:tcBorders>
          </w:tcPr>
          <w:p>
            <w:pPr>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ind w:left="0" w:right="0" w:firstLine="360"/>
        <w:jc w:val="both"/>
      </w:pPr>
      <w:r>
        <w:rPr/>
        <w:t xml:space="preserve">(3)(a) The lamp electrical power input of state-regulated incandescent reflector lamps shall meet the minimum average lamp efficacy requirements for federally regulated incandescent reflector lamps specified in 42 U.S.C. Sec. 6295(i)(l)(A)-(B).</w:t>
      </w:r>
    </w:p>
    <w:p>
      <w:pPr>
        <w:ind w:left="0" w:right="0" w:firstLine="360"/>
        <w:jc w:val="both"/>
      </w:pPr>
      <w:r>
        <w:rPr/>
        <w:t xml:space="preserve">(b) The following types of incandescent lamps are exempt from these requirements:</w:t>
      </w:r>
    </w:p>
    <w:p>
      <w:pPr>
        <w:ind w:left="0" w:right="0" w:firstLine="360"/>
        <w:jc w:val="both"/>
      </w:pPr>
      <w:r>
        <w:rPr/>
        <w:t xml:space="preserve">(i) Lamps rated at fifty watts or less of the following types: BR 30, ER 30, BR 40, and ER 40;</w:t>
      </w:r>
    </w:p>
    <w:p>
      <w:pPr>
        <w:ind w:left="0" w:right="0" w:firstLine="360"/>
        <w:jc w:val="both"/>
      </w:pPr>
      <w:r>
        <w:rPr/>
        <w:t xml:space="preserve">(ii) Lamps rated at sixty-five watts of the following types: BR 30, BR 40, and ER 40; and</w:t>
      </w:r>
    </w:p>
    <w:p>
      <w:pPr>
        <w:ind w:left="0" w:right="0" w:firstLine="360"/>
        <w:jc w:val="both"/>
      </w:pPr>
      <w:r>
        <w:rPr/>
        <w:t xml:space="preserve">(iii) R 20 lamps of forty-five watts or less.</w:t>
      </w:r>
    </w:p>
    <w:p>
      <w:pPr>
        <w:ind w:left="0" w:right="0" w:firstLine="360"/>
        <w:jc w:val="both"/>
      </w:pPr>
      <w:r>
        <w:rPr/>
        <w:t xml:space="preserve">(4)(a) Wine chillers designed and sold for use by an individual must meet requirements specified in the California Code of Regulations, Title 20, section 1605.3 in effect as of July 26, 2009.</w:t>
      </w:r>
    </w:p>
    <w:p>
      <w:pPr>
        <w:ind w:left="0" w:right="0" w:firstLine="360"/>
        <w:jc w:val="both"/>
      </w:pPr>
      <w:r>
        <w:rPr/>
        <w:t xml:space="preserve">(b) Wine chillers designed and sold for use by an individual shall be tested in accordance with the method specified in the California Code of Regulations, Title 20, section 1604 in effect as of July 26, 2009.</w:t>
      </w:r>
    </w:p>
    <w:p>
      <w:pPr>
        <w:ind w:left="0" w:right="0" w:firstLine="360"/>
        <w:jc w:val="both"/>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ind w:left="0" w:right="0" w:firstLine="360"/>
        <w:jc w:val="both"/>
      </w:pPr>
      <w:r>
        <w:rPr/>
        <w:t xml:space="preserve">(b) The test method for water dispensers shall be the environmental protection agency energy star program requirements for bottled water coolers version 1.1.</w:t>
      </w:r>
    </w:p>
    <w:p>
      <w:pPr>
        <w:ind w:left="0" w:right="0" w:firstLine="360"/>
        <w:jc w:val="both"/>
      </w:pPr>
      <w:r>
        <w:rPr/>
        <w:t xml:space="preserve">(6)(a) The standby energy consumption of hot water dispensers and mini-tank electric water heaters manufactured on or after January 1, 2010, shall be not greater than 35 watts.</w:t>
      </w:r>
    </w:p>
    <w:p>
      <w:pPr>
        <w:ind w:left="0" w:right="0" w:firstLine="360"/>
        <w:jc w:val="both"/>
      </w:pPr>
      <w:r>
        <w:rPr/>
        <w:t xml:space="preserve">(b) This subsection does not apply to any water heater:</w:t>
      </w:r>
    </w:p>
    <w:p>
      <w:pPr>
        <w:ind w:left="0" w:right="0" w:firstLine="360"/>
        <w:jc w:val="both"/>
      </w:pPr>
      <w:r>
        <w:rPr/>
        <w:t xml:space="preserve">(i) That is within the scope of 42 U.S.C. Sec. 6292(a)(4) or 6311(1);</w:t>
      </w:r>
    </w:p>
    <w:p>
      <w:pPr>
        <w:ind w:left="0" w:right="0" w:firstLine="360"/>
        <w:jc w:val="both"/>
      </w:pPr>
      <w:r>
        <w:rPr/>
        <w:t xml:space="preserve">(ii) That has a rated storage volume of less than 20 gallons; and</w:t>
      </w:r>
    </w:p>
    <w:p>
      <w:pPr>
        <w:ind w:left="0" w:right="0" w:firstLine="360"/>
        <w:jc w:val="both"/>
      </w:pPr>
      <w:r>
        <w:rPr/>
        <w:t xml:space="preserve">(iii) For which there is no federal test method applicable to that type of water heater.</w:t>
      </w:r>
    </w:p>
    <w:p>
      <w:pPr>
        <w:ind w:left="0" w:right="0" w:firstLine="360"/>
        <w:jc w:val="both"/>
      </w:pPr>
      <w:r>
        <w:rPr/>
        <w:t xml:space="preserve">(c) Hot water dispensers shall be tested in accordance with the method specified in the California Code of Regulations, Title 20, section 1604 in effect as of July 26, 2009.</w:t>
      </w:r>
    </w:p>
    <w:p>
      <w:pPr>
        <w:ind w:left="0" w:right="0" w:firstLine="360"/>
        <w:jc w:val="both"/>
      </w:pPr>
      <w:r>
        <w:rPr/>
        <w:t xml:space="preserve">(d) Mini-tank electric water heaters shall be tested in accordance with the method specified in the California Code of Regulations, Title 20, section 1604 in effect as of July 26, 2009.</w:t>
      </w:r>
    </w:p>
    <w:p>
      <w:pPr>
        <w:ind w:left="0" w:right="0" w:firstLine="360"/>
        <w:jc w:val="both"/>
      </w:pPr>
      <w:r>
        <w:rPr/>
        <w:t xml:space="preserve">(7) The following standards are established for pool heaters, residential pool pumps, and portable electric spas:</w:t>
      </w:r>
    </w:p>
    <w:p>
      <w:pPr>
        <w:ind w:left="0" w:right="0" w:firstLine="360"/>
        <w:jc w:val="both"/>
      </w:pPr>
      <w:r>
        <w:rPr/>
        <w:t xml:space="preserve">(a) Natural gas pool heaters shall not be equipped with constant burning pilots.</w:t>
      </w:r>
    </w:p>
    <w:p>
      <w:pPr>
        <w:ind w:left="0" w:right="0" w:firstLine="360"/>
        <w:jc w:val="both"/>
      </w:pPr>
      <w:r>
        <w:rPr/>
        <w:t xml:space="preserve">(b) Residential pool pump motors manufactured on or after January 1, 2010, must meet requirements specified in the California Code of Regulations, Title 20, section 1605.3 in effect as of July 26, 2009.</w:t>
      </w:r>
    </w:p>
    <w:p>
      <w:pPr>
        <w:ind w:left="0" w:right="0" w:firstLine="360"/>
        <w:jc w:val="both"/>
      </w:pPr>
      <w:r>
        <w:rPr/>
        <w:t xml:space="preserve">(c) Portable electric spas manufactured on or after January 1, 2010, must meet requirements specified in the California Code of Regulations, Title 20, section 1605.3 in effect as of July 26, 2009.</w:t>
      </w:r>
    </w:p>
    <w:p>
      <w:pPr>
        <w:ind w:left="0" w:right="0" w:firstLine="360"/>
        <w:jc w:val="both"/>
      </w:pPr>
      <w:r>
        <w:rPr/>
        <w:t xml:space="preserve">(d) Portable electric spas must be tested in accordance with the method specified in the California Code of Regulations, Title 20, section 1604 in effect as of July 26, 2009.</w:t>
      </w:r>
    </w:p>
    <w:p>
      <w:pPr>
        <w:ind w:left="0" w:right="0" w:firstLine="360"/>
        <w:jc w:val="both"/>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ind w:left="0" w:right="0" w:firstLine="0"/>
              <w:jc w:val="both"/>
            </w:pPr>
          </w:p>
        </w:tc>
        <w:tc>
          <w:tcPr>
            <w:tcW w:w="3360" w:type="dxa"/>
            <w:vAlign w:val="top"/>
          </w:tcPr>
          <w:p>
            <w:pPr>
              <w:ind w:left="0" w:right="0" w:firstLine="0"/>
              <w:jc w:val="both"/>
            </w:pPr>
          </w:p>
        </w:tc>
        <w:tc>
          <w:tcPr>
            <w:tcW w:w="3400" w:type="dxa"/>
            <w:vAlign w:val="top"/>
          </w:tcPr>
          <w:p>
            <w:pPr>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ind w:left="0" w:right="0" w:firstLine="0"/>
              <w:jc w:val="both"/>
            </w:pPr>
            <w:r>
              <w:rPr>
                <w:rFonts w:ascii="Times New Roman" w:hAnsi="Times New Roman"/>
                <w:sz w:val="20"/>
              </w:rPr>
              <w:t xml:space="preserve">Appliance</w:t>
            </w:r>
          </w:p>
        </w:tc>
        <w:tc>
          <w:tcPr>
            <w:tcW w:w="3360" w:type="dxa"/>
            <w:vAlign w:val="top"/>
            <w:tcBorders>
              <w:bottom w:val="single"/>
            </w:tcBorders>
          </w:tcPr>
          <w:p>
            <w:pPr>
              <w:ind w:left="0" w:right="0" w:firstLine="0"/>
              <w:jc w:val="both"/>
            </w:pPr>
            <w:r>
              <w:rPr>
                <w:rFonts w:ascii="Times New Roman" w:hAnsi="Times New Roman"/>
                <w:sz w:val="20"/>
              </w:rPr>
              <w:t xml:space="preserve">Testing Conditions</w:t>
            </w:r>
          </w:p>
        </w:tc>
        <w:tc>
          <w:tcPr>
            <w:tcW w:w="3400" w:type="dxa"/>
            <w:vAlign w:val="top"/>
            <w:tcBorders>
              <w:bottom w:val="single"/>
            </w:tcBorders>
          </w:tcPr>
          <w:p>
            <w:pPr>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ind w:left="0" w:right="0" w:firstLine="0"/>
              <w:jc w:val="both"/>
            </w:pP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When new</w:t>
            </w:r>
          </w:p>
        </w:tc>
        <w:tc>
          <w:tcPr>
            <w:tcW w:w="3400" w:type="dxa"/>
            <w:vAlign w:val="top"/>
            <w:tcBorders>
              <w:bottom w:val="single"/>
            </w:tcBorders>
          </w:tcPr>
          <w:p>
            <w:pPr>
              <w:ind w:left="0" w:right="0" w:firstLine="0"/>
              <w:jc w:val="center"/>
            </w:pPr>
            <w:r>
              <w:rPr>
                <w:rFonts w:ascii="Times New Roman" w:hAnsi="Times New Roman"/>
                <w:sz w:val="20"/>
              </w:rPr>
              <w:t xml:space="preserve">0.01 gpm</w:t>
            </w:r>
          </w:p>
        </w:tc>
      </w:tr>
      <w:tr>
        <w:tc>
          <w:tcPr>
            <w:tcW w:w="3400" w:type="dxa"/>
            <w:vAlign w:val="top"/>
            <w:tcBorders>
              <w:bottom w:val="single"/>
            </w:tcBorders>
          </w:tcPr>
          <w:p>
            <w:pPr>
              <w:ind w:left="0" w:right="0" w:firstLine="0"/>
              <w:jc w:val="both"/>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ind w:left="0" w:right="0" w:firstLine="0"/>
              <w:jc w:val="both"/>
            </w:pPr>
            <w:r>
              <w:rPr>
                <w:rFonts w:ascii="Times New Roman" w:hAnsi="Times New Roman"/>
                <w:sz w:val="20"/>
              </w:rPr>
              <w:t xml:space="preserve">After 15,000 cycles of diverting</w:t>
            </w:r>
          </w:p>
        </w:tc>
        <w:tc>
          <w:tcPr>
            <w:tcW w:w="3400" w:type="dxa"/>
            <w:vAlign w:val="top"/>
            <w:tcBorders>
              <w:bottom w:val="single"/>
            </w:tcBorders>
          </w:tcPr>
          <w:p>
            <w:pPr>
              <w:ind w:left="0" w:right="0" w:firstLine="0"/>
              <w:jc w:val="center"/>
            </w:pPr>
            <w:r>
              <w:rPr>
                <w:rFonts w:ascii="Times New Roman" w:hAnsi="Times New Roman"/>
                <w:sz w:val="20"/>
              </w:rPr>
              <w:t xml:space="preserve">0.05 gpm</w:t>
            </w:r>
          </w:p>
        </w:tc>
      </w:tr>
    </w:tbl>
    <w:p>
      <w:pPr>
        <w:ind w:left="0" w:right="0" w:firstLine="360"/>
        <w:jc w:val="both"/>
      </w:pPr>
      <w:r>
        <w:rPr/>
        <w:t xml:space="preserve">(b) Showerhead tub spout diverter combinations shall meet both the federal standard for showerheads established pursuant to 42 U.S.C. Sec. 6291 et seq. and the standard for tub spout diverters specified in this section.</w:t>
      </w:r>
    </w:p>
    <w:p>
      <w:pPr>
        <w:ind w:left="0" w:right="0" w:firstLine="360"/>
        <w:jc w:val="both"/>
      </w:pPr>
      <w:r>
        <w:rPr/>
        <w:t xml:space="preserve">(9)(a) The idle energy rate of commercial hot food holding cabinets manufactured on or after January 1, 2010, shall be no greater than 40 watts per cubic foot of measured interior volume.</w:t>
      </w:r>
    </w:p>
    <w:p>
      <w:pPr>
        <w:ind w:left="0" w:right="0" w:firstLine="360"/>
        <w:jc w:val="both"/>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ind w:left="0" w:right="0" w:firstLine="360"/>
        <w:jc w:val="both"/>
      </w:pPr>
      <w:r>
        <w:rPr>
          <w:u w:val="single"/>
        </w:rPr>
        <w:t xml:space="preserve">(10) The following standards are established for battery charger systems:</w:t>
      </w:r>
    </w:p>
    <w:p>
      <w:pPr>
        <w:ind w:left="0" w:right="0" w:firstLine="360"/>
        <w:jc w:val="both"/>
      </w:pPr>
      <w:r>
        <w:rPr>
          <w:u w:val="single"/>
        </w:rPr>
        <w:t xml:space="preserve">(a) Large battery charger systems and small battery charger systems manufactured on or after January 1, 2017, must meet requirements specified in the California Code of Regulations, Title 20, section 1605 in effect as of the effective date of this section.</w:t>
      </w:r>
    </w:p>
    <w:p>
      <w:pPr>
        <w:ind w:left="0" w:right="0" w:firstLine="360"/>
        <w:jc w:val="both"/>
      </w:pPr>
      <w:r>
        <w:rPr>
          <w:u w:val="single"/>
        </w:rPr>
        <w:t xml:space="preserve">(b) Battery backup and uninterruptible power supplies that are not consumer products manufactured on or after January 1, 2017, must meet requirements specified in the California Code of Regulations, Title 20, section 1605 in effect as of the effective date of this section.</w:t>
      </w:r>
    </w:p>
    <w:p>
      <w:pPr>
        <w:ind w:left="0" w:right="0" w:firstLine="360"/>
        <w:jc w:val="both"/>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ind w:left="0" w:right="0" w:firstLine="360"/>
        <w:jc w:val="both"/>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ind w:left="0" w:right="0" w:firstLine="360"/>
        <w:jc w:val="both"/>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ind w:left="0" w:right="0" w:firstLine="360"/>
        <w:jc w:val="both"/>
      </w:pPr>
      <w:r>
        <w:rPr/>
        <w:t xml:space="preserve">(3) Standards for state-regulated incandescent reflector lamps are effective on the dates specified in subsections (1) and (2) of this section.</w:t>
      </w:r>
    </w:p>
    <w:p>
      <w:pPr>
        <w:ind w:left="0" w:right="0" w:firstLine="360"/>
        <w:jc w:val="both"/>
      </w:pPr>
      <w:r>
        <w:rPr/>
        <w:t xml:space="preserve">(4) The following products, if manufactured on or after January 1, 2010, may not be sold or offered in the state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ind w:left="0" w:right="0" w:firstLine="360"/>
        <w:jc w:val="both"/>
      </w:pPr>
      <w:r>
        <w:rPr/>
        <w:t xml:space="preserve">(a) Wine chillers designed and sold for use by an individual;</w:t>
      </w:r>
    </w:p>
    <w:p>
      <w:pPr>
        <w:ind w:left="0" w:right="0" w:firstLine="360"/>
        <w:jc w:val="both"/>
      </w:pPr>
      <w:r>
        <w:rPr/>
        <w:t xml:space="preserve">(b) Hot water dispensers and mini-tank electric water heaters;</w:t>
      </w:r>
    </w:p>
    <w:p>
      <w:pPr>
        <w:ind w:left="0" w:right="0" w:firstLine="360"/>
        <w:jc w:val="both"/>
      </w:pPr>
      <w:r>
        <w:rPr/>
        <w:t xml:space="preserve">(c) Bottle-type water dispensers and point-of</w:t>
      </w:r>
      <w:r>
        <w:rPr/>
        <w:noBreakHyphen/>
      </w:r>
      <w:r>
        <w:rPr/>
        <w:t xml:space="preserve">use water dispensers;</w:t>
      </w:r>
    </w:p>
    <w:p>
      <w:pPr>
        <w:ind w:left="0" w:right="0" w:firstLine="360"/>
        <w:jc w:val="both"/>
      </w:pPr>
      <w:r>
        <w:rPr/>
        <w:t xml:space="preserve">(d) Pool heaters, residential pool pumps, and portable electric spas;</w:t>
      </w:r>
    </w:p>
    <w:p>
      <w:pPr>
        <w:ind w:left="0" w:right="0" w:firstLine="360"/>
        <w:jc w:val="both"/>
      </w:pPr>
      <w:r>
        <w:rPr/>
        <w:t xml:space="preserve">(e) Tub spout diverters; and</w:t>
      </w:r>
    </w:p>
    <w:p>
      <w:pPr>
        <w:ind w:left="0" w:right="0" w:firstLine="360"/>
        <w:jc w:val="both"/>
      </w:pPr>
      <w:r>
        <w:rPr/>
        <w:t xml:space="preserve">(f) Commercial hot food holding cabinets.</w:t>
      </w:r>
    </w:p>
    <w:p>
      <w:pPr>
        <w:ind w:left="0" w:right="0" w:firstLine="360"/>
        <w:jc w:val="both"/>
      </w:pPr>
      <w:r>
        <w:rPr>
          <w:u w:val="single"/>
        </w:rPr>
        <w:t xml:space="preserve">(6)(a) Large and small battery charger systems, if manufactured on or after January 1, 2017, may not be sold or offered for sale in the state unless the efficiency of the new product meets or exceeds the efficiency standards set forth in RCW 19.260.040.</w:t>
      </w:r>
    </w:p>
    <w:p>
      <w:pPr>
        <w:ind w:left="0" w:right="0" w:firstLine="360"/>
        <w:jc w:val="both"/>
      </w:pPr>
      <w:r>
        <w:rPr>
          <w:u w:val="single"/>
        </w:rPr>
        <w:t xml:space="preserve">(b) Battery backup and uninterruptible power supplies that are not consumer products, if manufactured on or after January 1, 2017, may not be sold or offered for sale in the state unless the efficiency of the new product meets or exceeds the efficiency standards set forth in RCW 19.260.040.</w:t>
      </w:r>
    </w:p>
    <w:p>
      <w:pPr>
        <w:ind w:left="0" w:right="0" w:firstLine="360"/>
        <w:jc w:val="both"/>
      </w:pPr>
      <w:r>
        <w:rPr>
          <w:u w:val="single"/>
        </w:rPr>
        <w:t xml:space="preserve">(7) Large and small battery charger systems, if manufactured on or after January 1, 2017, may not be installed for compensation in the state on or after January 1, 2018, unless the efficiency of the new product meets or exceeds the efficiency standards set forth in RCW 19.260.040.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260</w:t>
      </w:r>
      <w:r>
        <w:rPr/>
        <w:t xml:space="preserve"> RCW</w:t>
      </w:r>
      <w:r>
        <w:rPr/>
        <w:t xml:space="preserve"> to read as follows:</w:t>
      </w:r>
    </w:p>
    <w:p>
      <w:pPr>
        <w:ind w:left="0" w:right="0" w:firstLine="360"/>
        <w:jc w:val="both"/>
      </w:pPr>
      <w:r>
        <w:rPr/>
        <w:t xml:space="preserve">(1) Beginning December 31, 2015, and each year thereafter, the department must prepare an annual report on Washington's national rating as an energy efficient state. The report must include recommendations for retaining a top ten presence on a national energy efficiency rating list.</w:t>
      </w:r>
    </w:p>
    <w:p>
      <w:pPr>
        <w:ind w:left="0" w:right="0" w:firstLine="360"/>
        <w:jc w:val="both"/>
      </w:pPr>
      <w:r>
        <w:rPr/>
        <w:t xml:space="preserve">(2) The report required by this section must, in accordance with RCW 43.01.036, be submitted to the appropriate committees of the legislature."</w:t>
      </w:r>
    </w:p>
    <w:p>
      <w:pPr>
        <w:ind w:left="0" w:right="0" w:firstLine="360"/>
        <w:jc w:val="both"/>
      </w:pPr>
      <w:r>
        <w:rPr/>
        <w:t xml:space="preserve">Correct the title.</w:t>
      </w:r>
    </w:p>
    <w:p>
      <w:pPr>
        <w:ind w:left="0" w:right="0" w:firstLine="360"/>
        <w:jc w:val="both"/>
      </w:pPr>
      <w:r>
        <w:rPr>
          <w:u w:val="single"/>
        </w:rPr>
        <w:t xml:space="preserve">EFFECT:</w:t>
      </w:r>
      <w:r>
        <w:rPr/>
        <w:t xml:space="preserve"> Removes all references to and efficiency standards for high light output double-ended quartz halogen lamps, small diameter directional lamps, state-regulated LED lamps, and HVAC air filters.</w:t>
      </w:r>
    </w:p>
    <w:p>
      <w:pPr>
        <w:ind w:left="0" w:right="0" w:firstLine="360"/>
        <w:jc w:val="both"/>
      </w:pPr>
      <w:r>
        <w:rPr/>
        <w:t xml:space="preserve">Removes from the underlying bill an exception from the efficiency standards established for battery charger systems for those used to charge a motor vehicle that is powered by an electric motor drawing current from rechargeable storage batteries, fuel cells, or other portable sources of electrical current, and which may include a nonelectrical source of power designed to charge batteries and components thereof.</w:t>
      </w:r>
    </w:p>
    <w:p>
      <w:pPr>
        <w:ind w:left="0" w:right="0" w:firstLine="360"/>
        <w:jc w:val="both"/>
      </w:pPr>
      <w:r>
        <w:rPr/>
        <w:t xml:space="preserve">Extends an exception from the efficiency standards established for battery charger systems to those used to charge golf carts and larger industrial motive equipment such as fork lifts, burden carriers, or person carriers.</w:t>
      </w:r>
    </w:p>
    <w:p>
      <w:pPr>
        <w:ind w:left="0" w:right="0" w:firstLine="360"/>
        <w:jc w:val="both"/>
      </w:pPr>
      <w:r>
        <w:rPr/>
        <w:t xml:space="preserve">Removes the requirement for the department of commerce to report on standards for high light output double-ended quartz halogen lamps.</w:t>
      </w:r>
    </w:p>
    <w:p>
      <w:pPr>
        <w:ind w:left="0" w:right="0" w:firstLine="360"/>
        <w:jc w:val="both"/>
      </w:pPr>
      <w:r>
        <w:rPr/>
        <w:t xml:space="preserve">Requires the department of commerce to prepare an annual report on Washington's national rating as an energy efficient state that includes recommendations for retaining a top ten presence on a national energy efficiency rating list.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5b25783b6d4ea5" /></Relationships>
</file>