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7b0f69bf2d4236" /></Relationships>
</file>

<file path=word/document.xml><?xml version="1.0" encoding="utf-8"?>
<w:document xmlns:w="http://schemas.openxmlformats.org/wordprocessingml/2006/main">
  <w:body>
    <w:p>
      <w:r>
        <w:rPr>
          <w:b/>
        </w:rPr>
        <w:r>
          <w:rPr/>
          <w:t xml:space="preserve">1639-S</w:t>
        </w:r>
      </w:r>
      <w:r>
        <w:rPr>
          <w:b/>
        </w:rPr>
        <w:t xml:space="preserve"> </w:t>
        <w:t xml:space="preserve">AMH</w:t>
      </w:r>
      <w:r>
        <w:rPr>
          <w:b/>
        </w:rPr>
        <w:t xml:space="preserve"> </w:t>
        <w:r>
          <w:rPr/>
          <w:t xml:space="preserve">GOOD</w:t>
        </w:r>
      </w:r>
      <w:r>
        <w:rPr>
          <w:b/>
        </w:rPr>
        <w:t xml:space="preserve"> </w:t>
        <w:r>
          <w:rPr/>
          <w:t xml:space="preserve">H2194.1</w:t>
        </w:r>
      </w:r>
      <w:r>
        <w:rPr>
          <w:b/>
        </w:rPr>
        <w:t xml:space="preserve"> - NOT FOR FLOOR USE</w:t>
      </w:r>
    </w:p>
    <w:p>
      <w:pPr>
        <w:spacing w:before="480" w:after="0" w:line="408" w:lineRule="exact"/>
      </w:pPr>
      <w:r>
        <w:rPr>
          <w:b/>
          <w:u w:val="single"/>
        </w:rPr>
        <w:t xml:space="preserve">SHB 1639</w:t>
      </w:r>
      <w:r>
        <w:t xml:space="preserve"> -</w:t>
      </w:r>
      <w:r>
        <w:t xml:space="preserve"> </w:t>
        <w:t xml:space="preserve">H AMD</w:t>
      </w:r>
      <w:r>
        <w:t xml:space="preserve"> </w:t>
      </w:r>
      <w:r>
        <w:rPr>
          <w:b/>
        </w:rPr>
        <w:t xml:space="preserve">135</w:t>
      </w:r>
    </w:p>
    <w:p>
      <w:pPr>
        <w:spacing w:before="0" w:after="0" w:line="408" w:lineRule="exact"/>
        <w:ind w:left="0" w:right="0" w:firstLine="576"/>
        <w:jc w:val="left"/>
      </w:pPr>
      <w:r>
        <w:rPr/>
        <w:t xml:space="preserve">By Representative Goodman</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leader in responsible, effective, innovative government and the industries that help make this possible. The legislature finds that advances in technology have created valuable opportunities for government agencies to carry out their missions more efficiently, cost-effectively, precisely, and comprehensively. However, these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"Agency" means the state of Washington, its state and local agencies, political subdivisions, and their respective employees and agents, except the Washington national guard in Title 32 U.S.C. status.</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any information relating to a particular identified or identifiable individual including, but not limited to: (a) An individual's location; (b) the categories of information identified in RCW 19.255.010(5); (c) the categories of information identified in RCW 42.56.230; and (d) information obtained from a particular vehicle or particular residence, including the curtilage thereof, relating to that individual. Personal information does not include information that an agency does not associate with a particular individual. The information may be in the form of, but is not limited to:</w:t>
      </w:r>
    </w:p>
    <w:p>
      <w:pPr>
        <w:spacing w:before="0" w:after="0" w:line="408" w:lineRule="exact"/>
        <w:ind w:left="0" w:right="0" w:firstLine="576"/>
        <w:jc w:val="left"/>
      </w:pPr>
      <w:r>
        <w:rPr/>
        <w:t xml:space="preserve">(a) Images obtained from any part of the electromagnetic spectrum including, but not limited to, visible, ultraviolet, and infrared light; X-rays and other radiation; and radio waves;</w:t>
      </w:r>
    </w:p>
    <w:p>
      <w:pPr>
        <w:spacing w:before="0" w:after="0" w:line="408" w:lineRule="exact"/>
        <w:ind w:left="0" w:right="0" w:firstLine="576"/>
        <w:jc w:val="left"/>
      </w:pPr>
      <w:r>
        <w:rPr/>
        <w:t xml:space="preserve">(b) Sounds of any frequency, including infrasonic, audible, and ultrasonic frequencies; or</w:t>
      </w:r>
    </w:p>
    <w:p>
      <w:pPr>
        <w:spacing w:before="0" w:after="0" w:line="408" w:lineRule="exact"/>
        <w:ind w:left="0" w:right="0" w:firstLine="576"/>
        <w:jc w:val="left"/>
      </w:pPr>
      <w:r>
        <w:rPr/>
        <w:t xml:space="preserve">(c) Scents of any type, whether or not detectable by the human nose.</w:t>
      </w:r>
    </w:p>
    <w:p>
      <w:pPr>
        <w:spacing w:before="0" w:after="0" w:line="408" w:lineRule="exact"/>
        <w:ind w:left="0" w:right="0" w:firstLine="576"/>
        <w:jc w:val="left"/>
      </w:pPr>
      <w:r>
        <w:rPr/>
        <w:t xml:space="preserve">(6)(a) "Sensing device" means a device capable of remotely acquiring personal information from its surroundings.</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including, but not limited to, the Washington state patrol and the department of natural resources, shall procure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for each local agency and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Such written policies and procedures must: (a) Describe the purposes for using an extraordinary sensing device and, if applicable, any agency program or study pursuant to which it intends to use the extraordinary sensing device; (b) describe categories of personal information, if applicable, that the agency intends to collect during the operation of such extraordinary sensing device, how the collection of such information furthers the agency's purposes stated pursuant to (a) of this subsection, and how the agency plans to use such information; (c) establish policies and procedures for minimizing the collection of information not specified in (b) of this subsection; (d) establish policies and procedures to prevent unauthorized access to personal information, which may be collected through the agency's use of extraordinary sensing devices, and which policies and procedures may include technical measures such as encryption, hashing, anonymization, and/or deidentification of collected information; (e) identify the unique registration number the agency has affixed, or has previously been affixed, including by another agency, to the extraordinary sensing device it is intending to use; and (f) identify a point of contact for citizen complaints and concerns regarding the agency's use and operation of an extraordinary sensing device.</w:t>
      </w:r>
    </w:p>
    <w:p>
      <w:pPr>
        <w:spacing w:before="0" w:after="0" w:line="408" w:lineRule="exact"/>
        <w:ind w:left="0" w:right="0" w:firstLine="576"/>
        <w:jc w:val="left"/>
      </w:pPr>
      <w:r>
        <w:rPr/>
        <w:t xml:space="preserve">(2) Within one hundred eighty days of the effective date of this section, the office of the chief information officer shall construct a web site publicly listing every agency's written policies and procedures mandated by this section. The web site shall be easily accessible by the public and a hyperlink to this web site shall appear on http://access.wa.gov, or other similar web site, if this web site is altered or ceases to exist.</w:t>
      </w:r>
    </w:p>
    <w:p>
      <w:pPr>
        <w:spacing w:before="0" w:after="0" w:line="408" w:lineRule="exact"/>
        <w:ind w:left="0" w:right="0" w:firstLine="576"/>
        <w:jc w:val="left"/>
      </w:pPr>
      <w:r>
        <w:rPr/>
        <w:t xml:space="preserve">(3) The 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 If an agency complies with section 4 of this act and adheres to the minimization policies and procedures it adopts pursuant to section 4 of this act, there is a rebuttable presumption that the agency has complied with the minimization requirement under this section. This presumption can be overcome by clear and convincing evidence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without obtaining a warrant if the agency reasonably determines that the operation does not intend to collect personal information. Allowable purposes under this subsection include, but are not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(2) No agency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to operate an extraordinary sensing device and disclose personal information from the operation without obtaining a warrant if:</w:t>
      </w:r>
    </w:p>
    <w:p>
      <w:pPr>
        <w:spacing w:before="0" w:after="0" w:line="408" w:lineRule="exact"/>
        <w:ind w:left="0" w:right="0" w:firstLine="576"/>
        <w:jc w:val="left"/>
      </w:pPr>
      <w:r>
        <w:rPr/>
        <w:t xml:space="preserve">(a) The agency reasonably determines that:</w:t>
      </w:r>
    </w:p>
    <w:p>
      <w:pPr>
        <w:spacing w:before="0" w:after="0" w:line="408" w:lineRule="exact"/>
        <w:ind w:left="0" w:right="0" w:firstLine="576"/>
        <w:jc w:val="left"/>
      </w:pPr>
      <w:r>
        <w:rPr/>
        <w:t xml:space="preserve">(i) An emergency situation exists that involves criminal activity and presents immediate danger of death or serious physical injury to any person, including risk of terrorist activity;</w:t>
      </w:r>
    </w:p>
    <w:p>
      <w:pPr>
        <w:spacing w:before="0" w:after="0" w:line="408" w:lineRule="exact"/>
        <w:ind w:left="0" w:right="0" w:firstLine="576"/>
        <w:jc w:val="left"/>
      </w:pPr>
      <w:r>
        <w:rPr/>
        <w:t xml:space="preserve">(ii) The emergency situation requires operation of an extraordinary sensing device before a warrant authorizing the use can, with due diligence, be obtained; and</w:t>
      </w:r>
    </w:p>
    <w:p>
      <w:pPr>
        <w:spacing w:before="0" w:after="0" w:line="408" w:lineRule="exact"/>
        <w:ind w:left="0" w:right="0" w:firstLine="576"/>
        <w:jc w:val="left"/>
      </w:pPr>
      <w:r>
        <w:rPr/>
        <w:t xml:space="preserve">(iii) There are grounds upon which a warrant could be entered to authorize such operation;</w:t>
      </w:r>
    </w:p>
    <w:p>
      <w:pPr>
        <w:spacing w:before="0" w:after="0" w:line="408" w:lineRule="exact"/>
        <w:ind w:left="0" w:right="0" w:firstLine="576"/>
        <w:jc w:val="left"/>
      </w:pPr>
      <w:r>
        <w:rPr/>
        <w:t xml:space="preserve">(b) The agency reasonably determines that an emergency situation exists that:</w:t>
      </w:r>
    </w:p>
    <w:p>
      <w:pPr>
        <w:spacing w:before="0" w:after="0" w:line="408" w:lineRule="exact"/>
        <w:ind w:left="0" w:right="0" w:firstLine="576"/>
        <w:jc w:val="left"/>
      </w:pPr>
      <w:r>
        <w:rPr/>
        <w:t xml:space="preserve">(i) Does not involve criminal activity;</w:t>
      </w:r>
    </w:p>
    <w:p>
      <w:pPr>
        <w:spacing w:before="0" w:after="0" w:line="408" w:lineRule="exact"/>
        <w:ind w:left="0" w:right="0" w:firstLine="576"/>
        <w:jc w:val="left"/>
      </w:pPr>
      <w:r>
        <w:rPr/>
        <w:t xml:space="preserve">(ii) Presents immediate danger of death or serious physical injury to any person; and</w:t>
      </w:r>
    </w:p>
    <w:p>
      <w:pPr>
        <w:spacing w:before="0" w:after="0" w:line="408" w:lineRule="exact"/>
        <w:ind w:left="0" w:right="0" w:firstLine="576"/>
        <w:jc w:val="left"/>
      </w:pPr>
      <w:r>
        <w:rPr/>
        <w:t xml:space="preserve">(iii) Has characteristics such that operation of an extraordinary sensing device may reasonably reduce the danger of death or serious physical injury;</w:t>
      </w:r>
    </w:p>
    <w:p>
      <w:pPr>
        <w:spacing w:before="0" w:after="0" w:line="408" w:lineRule="exact"/>
        <w:ind w:left="0" w:right="0" w:firstLine="576"/>
        <w:jc w:val="left"/>
      </w:pPr>
      <w:r>
        <w:rPr/>
        <w:t xml:space="preserve">(c) The agency determines that operation is reasonably necessary to locate a missing person;</w:t>
      </w:r>
    </w:p>
    <w:p>
      <w:pPr>
        <w:spacing w:before="0" w:after="0" w:line="408" w:lineRule="exact"/>
        <w:ind w:left="0" w:right="0" w:firstLine="576"/>
        <w:jc w:val="left"/>
      </w:pPr>
      <w:r>
        <w:rPr/>
        <w:t xml:space="preserve">(d) The operation is limited to use for traffic crash scene photography;</w:t>
      </w:r>
    </w:p>
    <w:p>
      <w:pPr>
        <w:spacing w:before="0" w:after="0" w:line="408" w:lineRule="exact"/>
        <w:ind w:left="0" w:right="0" w:firstLine="576"/>
        <w:jc w:val="left"/>
      </w:pPr>
      <w:r>
        <w:rPr/>
        <w:t xml:space="preserve">(e) The operation is part of a training exercise conducted on a military base and the extraordinary sensing device does not collect personal information on persons located outside the military base;</w:t>
      </w:r>
    </w:p>
    <w:p>
      <w:pPr>
        <w:spacing w:before="0" w:after="0" w:line="408" w:lineRule="exact"/>
        <w:ind w:left="0" w:right="0" w:firstLine="576"/>
        <w:jc w:val="left"/>
      </w:pPr>
      <w:r>
        <w:rPr/>
        <w:t xml:space="preserve">(f) The operation is for training, testing, or research purposes by an agency and is not intended to collect personal information without the specific written consent of any individual whose personal information is collected; or</w:t>
      </w:r>
    </w:p>
    <w:p>
      <w:pPr>
        <w:spacing w:before="0" w:after="0" w:line="408" w:lineRule="exact"/>
        <w:ind w:left="0" w:right="0" w:firstLine="576"/>
        <w:jc w:val="left"/>
      </w:pPr>
      <w:r>
        <w:rPr/>
        <w:t xml:space="preserve">(g)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Upon completion of the operation of an extraordinary sensing device pursuant to subsection (1)(b) through (g) of this section, any personal information obtained must be treated as information collected on an individual other than a target of a warrant for purposes of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by an agency and personal information from the operation disclosed, if the operation and collection of personal information is pursuant to a search warrant issued by a court of competent jurisdiction, and the operation, collection, and disclosure are compliant with the provisions of this chapter.</w:t>
      </w:r>
    </w:p>
    <w:p>
      <w:pPr>
        <w:spacing w:before="0" w:after="0" w:line="408" w:lineRule="exact"/>
        <w:ind w:left="0" w:right="0" w:firstLine="576"/>
        <w:jc w:val="left"/>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spacing w:before="0" w:after="0" w:line="408" w:lineRule="exact"/>
        <w:ind w:left="0" w:right="0" w:firstLine="576"/>
        <w:jc w:val="left"/>
      </w:pPr>
      <w:r>
        <w:rPr/>
        <w:t xml:space="preserve">(3) Within ten days of the execution of a search warrant, the officer executing the warrant must serve a copy of the warrant upon the target of the warrant, except if notice is delayed pursuant to this section.</w:t>
      </w:r>
    </w:p>
    <w:p>
      <w:pPr>
        <w:spacing w:before="0" w:after="0" w:line="408" w:lineRule="exact"/>
        <w:ind w:left="0" w:right="0" w:firstLine="576"/>
        <w:jc w:val="left"/>
      </w:pPr>
      <w:r>
        <w:rPr/>
        <w:t xml:space="preserve">(4) An agency acting under this section may, when a warrant is sought, include in the petition a request, which the court shall grant, for an order delaying the notification for a period not to exceed ninety days if the court determines that there is reason to believe that notification of the existence of the warrant may have an adverse result.</w:t>
      </w:r>
    </w:p>
    <w:p>
      <w:pPr>
        <w:spacing w:before="0" w:after="0" w:line="408" w:lineRule="exact"/>
        <w:ind w:left="0" w:right="0" w:firstLine="576"/>
        <w:jc w:val="left"/>
      </w:pPr>
      <w:r>
        <w:rPr/>
        <w:t xml:space="preserve">(5)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(6) The agency shall maintain a copy of the warrant.</w:t>
      </w:r>
    </w:p>
    <w:p>
      <w:pPr>
        <w:spacing w:before="0" w:after="0" w:line="408" w:lineRule="exact"/>
        <w:ind w:left="0" w:right="0" w:firstLine="576"/>
        <w:jc w:val="left"/>
      </w:pPr>
      <w:r>
        <w:rPr/>
        <w:t xml:space="preserve">(7) Extension of the delay of notification of up to ninety days each may be granted by the court upon certification by the agency that there is reason to believe that notification of the extension of the warrant may have an adverse result.</w:t>
      </w:r>
    </w:p>
    <w:p>
      <w:pPr>
        <w:spacing w:before="0" w:after="0" w:line="408" w:lineRule="exact"/>
        <w:ind w:left="0" w:right="0" w:firstLine="576"/>
        <w:jc w:val="left"/>
      </w:pPr>
      <w:r>
        <w:rPr/>
        <w:t xml:space="preserve">(8) Upon expiration of the period of delay of notification under subsection (4) or (7) of this section, the agency shall serve a copy of the warrant upon, or deliver it by registered or first-class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agency or court made the certification or determination pursuant to which that delay was made; and (iii) the provision of this section allowing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 information is evidence of criminal activity.</w:t>
      </w:r>
    </w:p>
    <w:p>
      <w:pPr>
        <w:spacing w:before="0" w:after="0" w:line="408" w:lineRule="exact"/>
        <w:ind w:left="0" w:right="0" w:firstLine="576"/>
        <w:jc w:val="left"/>
      </w:pPr>
      <w:r>
        <w:rPr/>
        <w:t xml:space="preserve">(2) Personal information must be deleted, within thirty days if the personal information was collected on a target of a warrant authorizing the operation of the extraordinary sensing device and within ten days for other personal information, after there is no longer probable cause that the personal information is evidence of criminal activity that may be prosecuted. The foregoing shall only apply to the extent the personal information can be destroyed without destroying other evidence relevant to a pending criminal investigation or case.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must maintain records identifying each use of an extraordinary sensing device. The records must include:</w:t>
      </w:r>
    </w:p>
    <w:p>
      <w:pPr>
        <w:spacing w:before="0" w:after="0" w:line="408" w:lineRule="exact"/>
        <w:ind w:left="0" w:right="0" w:firstLine="576"/>
        <w:jc w:val="left"/>
      </w:pPr>
      <w:r>
        <w:rPr/>
        <w:t xml:space="preserve">(a) Operator name;</w:t>
      </w:r>
    </w:p>
    <w:p>
      <w:pPr>
        <w:spacing w:before="0" w:after="0" w:line="408" w:lineRule="exact"/>
        <w:ind w:left="0" w:right="0" w:firstLine="576"/>
        <w:jc w:val="left"/>
      </w:pPr>
      <w:r>
        <w:rPr/>
        <w:t xml:space="preserve">(b) Identity of the agency;</w:t>
      </w:r>
    </w:p>
    <w:p>
      <w:pPr>
        <w:spacing w:before="0" w:after="0" w:line="408" w:lineRule="exact"/>
        <w:ind w:left="0" w:right="0" w:firstLine="576"/>
        <w:jc w:val="left"/>
      </w:pPr>
      <w:r>
        <w:rPr/>
        <w:t xml:space="preserve">(c) Date and time of the flight;</w:t>
      </w:r>
    </w:p>
    <w:p>
      <w:pPr>
        <w:spacing w:before="0" w:after="0" w:line="408" w:lineRule="exact"/>
        <w:ind w:left="0" w:right="0" w:firstLine="576"/>
        <w:jc w:val="left"/>
      </w:pPr>
      <w:r>
        <w:rPr/>
        <w:t xml:space="preserve">(d) Categories of information collected for each use;</w:t>
      </w:r>
    </w:p>
    <w:p>
      <w:pPr>
        <w:spacing w:before="0" w:after="0" w:line="408" w:lineRule="exact"/>
        <w:ind w:left="0" w:right="0" w:firstLine="576"/>
        <w:jc w:val="left"/>
      </w:pPr>
      <w:r>
        <w:rPr/>
        <w:t xml:space="preserve">(e) The purpose of using the extraordinary sensing device; and</w:t>
      </w:r>
    </w:p>
    <w:p>
      <w:pPr>
        <w:spacing w:before="0" w:after="0" w:line="408" w:lineRule="exact"/>
        <w:ind w:left="0" w:right="0" w:firstLine="576"/>
        <w:jc w:val="left"/>
      </w:pPr>
      <w:r>
        <w:rPr/>
        <w:t xml:space="preserve">(f) Whether a warrant was obtained prior to use.</w:t>
      </w:r>
    </w:p>
    <w:p>
      <w:pPr>
        <w:spacing w:before="0" w:after="0" w:line="408" w:lineRule="exact"/>
        <w:ind w:left="0" w:right="0" w:firstLine="576"/>
        <w:jc w:val="left"/>
      </w:pPr>
      <w:r>
        <w:rPr/>
        <w:t xml:space="preserve">(2) Each state agency having jurisdiction over criminal law or regulatory violation enforcement,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criminal or regulatory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or regulatory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(3) Each state agency other than that in subsection (2) of this section,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(4) The annual reports required pursuant to this section must be filed electronically to the office of financial management, who must compile the results and submit them electronically to the relevant committees of the legislature by September 1st of each year, beginning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by an agency must fully comply with all applicable federal aviation administration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abridges, reduces, restricts, or prohibits an officer, employee, or agent of the United States armed forces, or the agent of the United States armed forces to include the national guard in Title 32 U.S.C. from operating an unmanned aerial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16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723b957ea431f" /></Relationships>
</file>