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412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44B5">
            <w:t>1740-S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44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44B5">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44B5">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183A">
            <w:t>474</w:t>
          </w:r>
        </w:sdtContent>
      </w:sdt>
    </w:p>
    <w:p w:rsidR="00DF5D0E" w:rsidP="00B73E0A" w:rsidRDefault="00AA1230">
      <w:pPr>
        <w:pStyle w:val="OfferedBy"/>
        <w:spacing w:after="120"/>
      </w:pPr>
      <w:r>
        <w:tab/>
      </w:r>
      <w:r>
        <w:tab/>
      </w:r>
      <w:r>
        <w:tab/>
      </w:r>
    </w:p>
    <w:p w:rsidR="00DF5D0E" w:rsidRDefault="00D412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44B5">
            <w:rPr>
              <w:b/>
              <w:u w:val="single"/>
            </w:rPr>
            <w:t>SHB 1740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44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200</w:t>
          </w:r>
        </w:sdtContent>
      </w:sdt>
    </w:p>
    <w:p w:rsidR="00DF5D0E" w:rsidP="00605C39" w:rsidRDefault="00D4129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44B5">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44B5">
          <w:pPr>
            <w:spacing w:after="400" w:line="408" w:lineRule="exact"/>
            <w:jc w:val="right"/>
            <w:rPr>
              <w:b/>
              <w:bCs/>
            </w:rPr>
          </w:pPr>
          <w:r>
            <w:rPr>
              <w:b/>
              <w:bCs/>
            </w:rPr>
            <w:t xml:space="preserve">ADOPTED 03/09/2015</w:t>
          </w:r>
        </w:p>
      </w:sdtContent>
    </w:sdt>
    <w:p w:rsidR="00EE44B5" w:rsidP="00C8108C" w:rsidRDefault="00DE256E">
      <w:pPr>
        <w:pStyle w:val="Page"/>
      </w:pPr>
      <w:bookmarkStart w:name="StartOfAmendmentBody" w:id="1"/>
      <w:bookmarkEnd w:id="1"/>
      <w:permStart w:edGrp="everyone" w:id="1366110469"/>
      <w:r>
        <w:tab/>
      </w:r>
      <w:r w:rsidR="00EE44B5">
        <w:t>On page</w:t>
      </w:r>
      <w:r w:rsidR="00C50CA8">
        <w:t xml:space="preserve"> 5, after line 36, insert the following:</w:t>
      </w:r>
    </w:p>
    <w:p w:rsidR="00C50CA8" w:rsidP="00C50CA8" w:rsidRDefault="00C50CA8">
      <w:pPr>
        <w:pStyle w:val="RCWSLText"/>
      </w:pPr>
    </w:p>
    <w:p w:rsidR="00C50CA8" w:rsidP="00C50CA8" w:rsidRDefault="00C50CA8">
      <w:pPr>
        <w:pStyle w:val="RCWSLText"/>
      </w:pPr>
      <w:r>
        <w:tab/>
        <w:t>"</w:t>
      </w:r>
      <w:r>
        <w:rPr>
          <w:b/>
        </w:rPr>
        <w:t>Sec.</w:t>
      </w:r>
      <w:r w:rsidR="00FB2953">
        <w:rPr>
          <w:b/>
        </w:rPr>
        <w:t xml:space="preserve"> 3.</w:t>
      </w:r>
      <w:r>
        <w:t xml:space="preserve">  RCW 41.05.050 and 2009 c 537 s 5 are each amended to read as follows:</w:t>
      </w:r>
    </w:p>
    <w:p w:rsidR="00C50CA8" w:rsidRDefault="00C50CA8">
      <w:pPr>
        <w:spacing w:line="408" w:lineRule="exact"/>
        <w:ind w:firstLine="576"/>
      </w:pPr>
      <w:r>
        <w:t>(1)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w:t>
      </w:r>
      <w:r w:rsidR="00750265">
        <w:t xml:space="preserve"> </w:t>
      </w:r>
      <w:r>
        <w:t>except as provided in subsection (4) of this section.</w:t>
      </w:r>
    </w:p>
    <w:p w:rsidR="00C50CA8" w:rsidRDefault="00C50CA8">
      <w:pPr>
        <w:spacing w:line="408" w:lineRule="exact"/>
        <w:ind w:firstLine="576"/>
      </w:pPr>
      <w:r>
        <w:t xml:space="preserve">(2) If the authority at any time determines that the participation of a county, municipal, other political subdivision, or a tribal government covered under this chapter adversely impacts insurance rates for state employees, the authority </w:t>
      </w:r>
      <w:r w:rsidR="00880E88">
        <w:t>((</w:t>
      </w:r>
      <w:r w:rsidRPr="00880E88">
        <w:rPr>
          <w:strike/>
        </w:rPr>
        <w:t>shall implement limitations on the participation of additional</w:t>
      </w:r>
      <w:r w:rsidR="00750265">
        <w:t>))</w:t>
      </w:r>
      <w:r w:rsidRPr="00880E88" w:rsidR="00880E88">
        <w:rPr>
          <w:u w:val="single"/>
        </w:rPr>
        <w:t xml:space="preserve">may </w:t>
      </w:r>
      <w:r w:rsidR="00750265">
        <w:rPr>
          <w:u w:val="single"/>
        </w:rPr>
        <w:t>develop an employer-specific charge for each</w:t>
      </w:r>
      <w:r>
        <w:t xml:space="preserve"> county, municipal, other political subdivision</w:t>
      </w:r>
      <w:r w:rsidR="00750265">
        <w:t>((</w:t>
      </w:r>
      <w:r w:rsidRPr="00880E88">
        <w:rPr>
          <w:strike/>
        </w:rPr>
        <w:t>s</w:t>
      </w:r>
      <w:r w:rsidR="00750265">
        <w:t>))</w:t>
      </w:r>
      <w:r>
        <w:t xml:space="preserve">, or </w:t>
      </w:r>
      <w:r w:rsidR="00750265">
        <w:t>((</w:t>
      </w:r>
      <w:r w:rsidRPr="00880E88">
        <w:rPr>
          <w:strike/>
        </w:rPr>
        <w:t>a</w:t>
      </w:r>
      <w:r w:rsidR="00750265">
        <w:t>))</w:t>
      </w:r>
      <w:r>
        <w:t xml:space="preserve"> tribal government</w:t>
      </w:r>
      <w:r w:rsidR="00750265">
        <w:t xml:space="preserve"> </w:t>
      </w:r>
      <w:r w:rsidR="00880E88">
        <w:rPr>
          <w:u w:val="single"/>
        </w:rPr>
        <w:t>that offsets a significant</w:t>
      </w:r>
      <w:r w:rsidR="00750265">
        <w:rPr>
          <w:u w:val="single"/>
        </w:rPr>
        <w:t xml:space="preserve"> increase in insurance rates for state employees </w:t>
      </w:r>
      <w:r w:rsidR="00880E88">
        <w:rPr>
          <w:u w:val="single"/>
        </w:rPr>
        <w:t xml:space="preserve">that could be </w:t>
      </w:r>
      <w:r w:rsidR="00750265">
        <w:rPr>
          <w:u w:val="single"/>
        </w:rPr>
        <w:t>caused by the participation of that employer</w:t>
      </w:r>
      <w:r>
        <w:t>.</w:t>
      </w:r>
    </w:p>
    <w:p w:rsidR="00C50CA8" w:rsidP="0095183A" w:rsidRDefault="00C50CA8">
      <w:pPr>
        <w:spacing w:line="408" w:lineRule="exact"/>
        <w:ind w:firstLine="576"/>
      </w:pPr>
      <w:r>
        <w:t xml:space="preserve">(3) The contributions of any: (a) Department, division, or separate agency of the state government; (b) county, municipal, or </w:t>
      </w:r>
      <w:r>
        <w:lastRenderedPageBreak/>
        <w:t>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rsidR="00C50CA8" w:rsidRDefault="00C50CA8">
      <w:pPr>
        <w:spacing w:line="408" w:lineRule="exact"/>
        <w:ind w:firstLine="576"/>
      </w:pPr>
      <w:r>
        <w:t>(4)(a)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rsidR="00C50CA8" w:rsidRDefault="00C50CA8">
      <w:pPr>
        <w:spacing w:line="408" w:lineRule="exact"/>
        <w:ind w:firstLine="576"/>
      </w:pPr>
      <w:r>
        <w:t>(b)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rsidR="00C50CA8" w:rsidRDefault="00C50CA8">
      <w:pPr>
        <w:spacing w:line="408" w:lineRule="exact"/>
        <w:ind w:firstLine="576"/>
      </w:pPr>
      <w:r>
        <w:t>(c)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rsidR="00C50CA8" w:rsidRDefault="00C50CA8">
      <w:pPr>
        <w:spacing w:line="408" w:lineRule="exact"/>
        <w:ind w:firstLine="576"/>
      </w:pPr>
      <w:r>
        <w:t>(d) The authority may charge districts a one-time set-up fee for employee groups enrolling in authority plans for the first time.</w:t>
      </w:r>
    </w:p>
    <w:p w:rsidR="00C50CA8" w:rsidRDefault="00C50CA8">
      <w:pPr>
        <w:spacing w:line="408" w:lineRule="exact"/>
        <w:ind w:firstLine="576"/>
      </w:pPr>
      <w:r>
        <w:lastRenderedPageBreak/>
        <w:t>(e) For the purposes of this subsection:</w:t>
      </w:r>
    </w:p>
    <w:p w:rsidR="00C50CA8" w:rsidRDefault="00C50CA8">
      <w:pPr>
        <w:spacing w:line="408" w:lineRule="exact"/>
        <w:ind w:firstLine="576"/>
      </w:pPr>
      <w:r>
        <w:t>(i) "District" means school district and educational service district; and</w:t>
      </w:r>
    </w:p>
    <w:p w:rsidR="00C50CA8" w:rsidRDefault="00C50CA8">
      <w:pPr>
        <w:spacing w:line="408" w:lineRule="exact"/>
        <w:ind w:firstLine="576"/>
      </w:pPr>
      <w:r>
        <w:t>(ii) "Tiered rates" means the amounts the authority must pay to insuring entities by plan and by family size.</w:t>
      </w:r>
    </w:p>
    <w:p w:rsidR="00C50CA8" w:rsidRDefault="00C50CA8">
      <w:pPr>
        <w:spacing w:line="408" w:lineRule="exact"/>
        <w:ind w:firstLine="576"/>
      </w:pPr>
      <w:r>
        <w:t>(f) Notwithstanding this subsection and RCW 41.05.065(4), the authority may allow districts enrolled on a tiered rate structure prior to September 1, 2002, to continue participation based on the same rate structure and under the same conditions and eligibility criteria.</w:t>
      </w:r>
    </w:p>
    <w:p w:rsidR="00C50CA8" w:rsidRDefault="00C50CA8">
      <w:pPr>
        <w:spacing w:line="408" w:lineRule="exact"/>
        <w:ind w:firstLine="576"/>
      </w:pPr>
      <w:r>
        <w:t>(5) The authority shall transmit a recommendation for the amount of the employer contribution to the governor and the director of financial management for inclusion in the proposed budgets submitted to the legislature."</w:t>
      </w:r>
    </w:p>
    <w:p w:rsidR="00DF5D0E" w:rsidP="00EE44B5" w:rsidRDefault="00DF5D0E">
      <w:pPr>
        <w:suppressLineNumbers/>
      </w:pPr>
    </w:p>
    <w:p w:rsidR="00C50CA8" w:rsidP="00EE44B5" w:rsidRDefault="00C50CA8">
      <w:pPr>
        <w:suppressLineNumbers/>
      </w:pPr>
    </w:p>
    <w:p w:rsidRPr="00EE44B5" w:rsidR="00C50CA8" w:rsidP="00EE44B5" w:rsidRDefault="00C50CA8">
      <w:pPr>
        <w:suppressLineNumbers/>
        <w:rPr>
          <w:spacing w:val="-3"/>
        </w:rPr>
      </w:pPr>
      <w:r>
        <w:tab/>
        <w:t>Correct the title</w:t>
      </w:r>
    </w:p>
    <w:permEnd w:id="1366110469"/>
    <w:p w:rsidR="00ED2EEB" w:rsidP="00EE44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65918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E44B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E44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30F23">
                  <w:t>Rather than permitting Health Care Authority (HCA) to limit the participation of county, political subdivision, municipal or tribal employer participation in the state employee insurance program if the participation of those non-state employers increase</w:t>
                </w:r>
                <w:r w:rsidR="00FB2953">
                  <w:t>s</w:t>
                </w:r>
                <w:r w:rsidR="00630F23">
                  <w:t xml:space="preserve"> costs for state employees, HCA is </w:t>
                </w:r>
                <w:r w:rsidR="00880E88">
                  <w:t>authorized</w:t>
                </w:r>
                <w:r w:rsidR="00630F23">
                  <w:t xml:space="preserve"> to develop employer-specific charges that offset any </w:t>
                </w:r>
                <w:r w:rsidR="00880E88">
                  <w:t xml:space="preserve">significant </w:t>
                </w:r>
                <w:r w:rsidR="00630F23">
                  <w:t>increase to insurance rates for state employees</w:t>
                </w:r>
                <w:r w:rsidR="00880E88">
                  <w:t xml:space="preserve"> that could be</w:t>
                </w:r>
                <w:r w:rsidR="00630F23">
                  <w:t xml:space="preserve"> caused by the participation of the employer.</w:t>
                </w:r>
              </w:p>
              <w:p w:rsidRPr="007D1589" w:rsidR="001B4E53" w:rsidP="00EE44B5" w:rsidRDefault="001B4E53">
                <w:pPr>
                  <w:pStyle w:val="ListBullet"/>
                  <w:numPr>
                    <w:ilvl w:val="0"/>
                    <w:numId w:val="0"/>
                  </w:numPr>
                  <w:suppressLineNumbers/>
                </w:pPr>
              </w:p>
            </w:tc>
          </w:tr>
        </w:sdtContent>
      </w:sdt>
      <w:permEnd w:id="1886591880"/>
    </w:tbl>
    <w:p w:rsidR="00DF5D0E" w:rsidP="00EE44B5" w:rsidRDefault="00DF5D0E">
      <w:pPr>
        <w:pStyle w:val="BillEnd"/>
        <w:suppressLineNumbers/>
      </w:pPr>
    </w:p>
    <w:p w:rsidR="00DF5D0E" w:rsidP="00EE44B5" w:rsidRDefault="00DE256E">
      <w:pPr>
        <w:pStyle w:val="BillEnd"/>
        <w:suppressLineNumbers/>
      </w:pPr>
      <w:r>
        <w:rPr>
          <w:b/>
        </w:rPr>
        <w:t>--- END ---</w:t>
      </w:r>
    </w:p>
    <w:p w:rsidR="00DF5D0E" w:rsidP="00EE44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B5" w:rsidRDefault="00EE44B5" w:rsidP="00DF5D0E">
      <w:r>
        <w:separator/>
      </w:r>
    </w:p>
  </w:endnote>
  <w:endnote w:type="continuationSeparator" w:id="0">
    <w:p w:rsidR="00EE44B5" w:rsidRDefault="00EE44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04" w:rsidRDefault="00322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22904">
    <w:pPr>
      <w:pStyle w:val="AmendDraftFooter"/>
    </w:pPr>
    <w:fldSimple w:instr=" TITLE   \* MERGEFORMAT ">
      <w:r w:rsidR="00D41294">
        <w:t>1740-S AMH HUNT PRIN 474</w:t>
      </w:r>
    </w:fldSimple>
    <w:r w:rsidR="001B4E53">
      <w:tab/>
    </w:r>
    <w:r w:rsidR="00E267B1">
      <w:fldChar w:fldCharType="begin"/>
    </w:r>
    <w:r w:rsidR="00E267B1">
      <w:instrText xml:space="preserve"> PAGE  \* Arabic  \* MERGEFORMAT </w:instrText>
    </w:r>
    <w:r w:rsidR="00E267B1">
      <w:fldChar w:fldCharType="separate"/>
    </w:r>
    <w:r w:rsidR="00D4129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22904">
    <w:pPr>
      <w:pStyle w:val="AmendDraftFooter"/>
    </w:pPr>
    <w:fldSimple w:instr=" TITLE   \* MERGEFORMAT ">
      <w:r w:rsidR="00D41294">
        <w:t>1740-S AMH HUNT PRIN 474</w:t>
      </w:r>
    </w:fldSimple>
    <w:r w:rsidR="001B4E53">
      <w:tab/>
    </w:r>
    <w:r w:rsidR="00E267B1">
      <w:fldChar w:fldCharType="begin"/>
    </w:r>
    <w:r w:rsidR="00E267B1">
      <w:instrText xml:space="preserve"> PAGE  \* Arabic  \* MERGEFORMAT </w:instrText>
    </w:r>
    <w:r w:rsidR="00E267B1">
      <w:fldChar w:fldCharType="separate"/>
    </w:r>
    <w:r w:rsidR="00D4129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B5" w:rsidRDefault="00EE44B5" w:rsidP="00DF5D0E">
      <w:r>
        <w:separator/>
      </w:r>
    </w:p>
  </w:footnote>
  <w:footnote w:type="continuationSeparator" w:id="0">
    <w:p w:rsidR="00EE44B5" w:rsidRDefault="00EE44B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04" w:rsidRDefault="00322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7466F"/>
    <w:rsid w:val="00096165"/>
    <w:rsid w:val="000C6C82"/>
    <w:rsid w:val="000E603A"/>
    <w:rsid w:val="00102468"/>
    <w:rsid w:val="00106544"/>
    <w:rsid w:val="00146AAF"/>
    <w:rsid w:val="001A775A"/>
    <w:rsid w:val="001B4E53"/>
    <w:rsid w:val="001C1B27"/>
    <w:rsid w:val="001E6675"/>
    <w:rsid w:val="00217E8A"/>
    <w:rsid w:val="002575E1"/>
    <w:rsid w:val="00265296"/>
    <w:rsid w:val="00281CBD"/>
    <w:rsid w:val="0029593F"/>
    <w:rsid w:val="00316CD9"/>
    <w:rsid w:val="00322904"/>
    <w:rsid w:val="003E2FC6"/>
    <w:rsid w:val="00492DDC"/>
    <w:rsid w:val="004C6615"/>
    <w:rsid w:val="00523C5A"/>
    <w:rsid w:val="005E69C3"/>
    <w:rsid w:val="005F051C"/>
    <w:rsid w:val="00605C39"/>
    <w:rsid w:val="00630F23"/>
    <w:rsid w:val="00635F08"/>
    <w:rsid w:val="006841E6"/>
    <w:rsid w:val="006F7027"/>
    <w:rsid w:val="007049E4"/>
    <w:rsid w:val="0072335D"/>
    <w:rsid w:val="0072541D"/>
    <w:rsid w:val="00750265"/>
    <w:rsid w:val="00757317"/>
    <w:rsid w:val="007769AF"/>
    <w:rsid w:val="007D1589"/>
    <w:rsid w:val="007D35D4"/>
    <w:rsid w:val="0083749C"/>
    <w:rsid w:val="008443FE"/>
    <w:rsid w:val="00846034"/>
    <w:rsid w:val="00880E88"/>
    <w:rsid w:val="008A4EC2"/>
    <w:rsid w:val="008C7E6E"/>
    <w:rsid w:val="00931B84"/>
    <w:rsid w:val="0095183A"/>
    <w:rsid w:val="0096303F"/>
    <w:rsid w:val="00972869"/>
    <w:rsid w:val="00973ACE"/>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24B4"/>
    <w:rsid w:val="00BF44DF"/>
    <w:rsid w:val="00C50CA8"/>
    <w:rsid w:val="00C61A83"/>
    <w:rsid w:val="00C8108C"/>
    <w:rsid w:val="00D40447"/>
    <w:rsid w:val="00D41294"/>
    <w:rsid w:val="00D659AC"/>
    <w:rsid w:val="00DA47F3"/>
    <w:rsid w:val="00DC2C13"/>
    <w:rsid w:val="00DE256E"/>
    <w:rsid w:val="00DF5D0E"/>
    <w:rsid w:val="00E1471A"/>
    <w:rsid w:val="00E267B1"/>
    <w:rsid w:val="00E41CC6"/>
    <w:rsid w:val="00E66F5D"/>
    <w:rsid w:val="00E831A5"/>
    <w:rsid w:val="00E850E7"/>
    <w:rsid w:val="00EC4C96"/>
    <w:rsid w:val="00ED2EEB"/>
    <w:rsid w:val="00EE44B5"/>
    <w:rsid w:val="00F229DE"/>
    <w:rsid w:val="00F304D3"/>
    <w:rsid w:val="00F4663F"/>
    <w:rsid w:val="00FB2953"/>
    <w:rsid w:val="00FD6D2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019C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1740-S</BillDocName>
  <AmendType>AMH</AmendType>
  <SponsorAcronym>HUNT</SponsorAcronym>
  <DrafterAcronym>PRIN</DrafterAcronym>
  <DraftNumber>474</DraftNumber>
  <ReferenceNumber>SHB 1740</ReferenceNumber>
  <Floor>H AMD</Floor>
  <AmendmentNumber> 200</AmendmentNumber>
  <Sponsors>By Representative Hunter</Sponsors>
  <FloorAction>ADOPTED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768</Words>
  <Characters>4243</Characters>
  <Application>Microsoft Office Word</Application>
  <DocSecurity>8</DocSecurity>
  <Lines>98</Lines>
  <Paragraphs>23</Paragraphs>
  <ScaleCrop>false</ScaleCrop>
  <HeadingPairs>
    <vt:vector size="2" baseType="variant">
      <vt:variant>
        <vt:lpstr>Title</vt:lpstr>
      </vt:variant>
      <vt:variant>
        <vt:i4>1</vt:i4>
      </vt:variant>
    </vt:vector>
  </HeadingPairs>
  <TitlesOfParts>
    <vt:vector size="1" baseType="lpstr">
      <vt:lpstr>1740-S AMH HUNT PRIN 473</vt:lpstr>
    </vt:vector>
  </TitlesOfParts>
  <Company>Washington State Legislature</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1740-S AMH HUNT PRIN 474</dc:title>
  <dc:creator>David Pringle</dc:creator>
  <cp:lastModifiedBy>Pringle, David</cp:lastModifiedBy>
  <cp:revision>6</cp:revision>
  <cp:lastPrinted>2015-03-06T02:50:00Z</cp:lastPrinted>
  <dcterms:created xsi:type="dcterms:W3CDTF">2015-03-06T02:48:00Z</dcterms:created>
  <dcterms:modified xsi:type="dcterms:W3CDTF">2015-03-06T02:50:00Z</dcterms:modified>
</cp:coreProperties>
</file>