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2328E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0422B">
            <w:t>1745-S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0422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0422B">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0422B">
            <w:t>FLYN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0422B">
            <w:t>161</w:t>
          </w:r>
        </w:sdtContent>
      </w:sdt>
    </w:p>
    <w:p w:rsidR="00DF5D0E" w:rsidP="00B73E0A" w:rsidRDefault="00AA1230">
      <w:pPr>
        <w:pStyle w:val="OfferedBy"/>
        <w:spacing w:after="120"/>
      </w:pPr>
      <w:r>
        <w:tab/>
      </w:r>
      <w:r>
        <w:tab/>
      </w:r>
      <w:r>
        <w:tab/>
      </w:r>
    </w:p>
    <w:p w:rsidR="00DF5D0E" w:rsidRDefault="002328E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0422B">
            <w:rPr>
              <w:b/>
              <w:u w:val="single"/>
            </w:rPr>
            <w:t>SHB 1745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0422B">
            <w:t xml:space="preserve">H AMD TO </w:t>
          </w:r>
          <w:r w:rsidR="00E52EAD">
            <w:t>H AMD (H-</w:t>
          </w:r>
          <w:r w:rsidR="00E0422B">
            <w:t>2238.1/15</w:t>
          </w:r>
          <w:r w:rsidR="00E52EAD">
            <w:t>)</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166</w:t>
          </w:r>
        </w:sdtContent>
      </w:sdt>
    </w:p>
    <w:p w:rsidR="00DF5D0E" w:rsidP="00605C39" w:rsidRDefault="002328E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0422B">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0422B">
          <w:pPr>
            <w:spacing w:after="400" w:line="408" w:lineRule="exact"/>
            <w:jc w:val="right"/>
            <w:rPr>
              <w:b/>
              <w:bCs/>
            </w:rPr>
          </w:pPr>
          <w:r>
            <w:rPr>
              <w:b/>
              <w:bCs/>
            </w:rPr>
            <w:t xml:space="preserve">NOT ADOPTED 03/05/2015</w:t>
          </w:r>
        </w:p>
      </w:sdtContent>
    </w:sdt>
    <w:p w:rsidRPr="007C40A3" w:rsidR="002813D1" w:rsidP="007C40A3" w:rsidRDefault="00E0422B">
      <w:pPr>
        <w:pStyle w:val="Page"/>
      </w:pPr>
      <w:bookmarkStart w:name="StartOfAmendmentBody" w:id="1"/>
      <w:bookmarkEnd w:id="1"/>
      <w:permStart w:edGrp="everyone" w:id="1996294944"/>
      <w:r>
        <w:t xml:space="preserve"> </w:t>
      </w:r>
      <w:r w:rsidR="007C40A3">
        <w:tab/>
      </w:r>
      <w:r w:rsidR="00E52EAD">
        <w:rPr>
          <w:rFonts w:eastAsia="Times New Roman" w:cs="Times New Roman"/>
          <w:szCs w:val="22"/>
        </w:rPr>
        <w:t xml:space="preserve">One page 1 of the striking amendment, strike all material </w:t>
      </w:r>
      <w:r w:rsidR="002A433F">
        <w:rPr>
          <w:rFonts w:eastAsia="Times New Roman" w:cs="Times New Roman"/>
          <w:szCs w:val="22"/>
        </w:rPr>
        <w:t>after line 2</w:t>
      </w:r>
      <w:r w:rsidR="00E52EAD">
        <w:rPr>
          <w:rFonts w:eastAsia="Times New Roman" w:cs="Times New Roman"/>
          <w:szCs w:val="22"/>
        </w:rPr>
        <w:t xml:space="preserve"> and insert the following</w:t>
      </w:r>
      <w:r w:rsidRPr="002813D1" w:rsidR="002813D1">
        <w:rPr>
          <w:rFonts w:eastAsia="Times New Roman" w:cs="Times New Roman"/>
          <w:szCs w:val="22"/>
        </w:rPr>
        <w:t>:</w:t>
      </w:r>
    </w:p>
    <w:p w:rsidRPr="002813D1" w:rsidR="002813D1" w:rsidP="002813D1" w:rsidRDefault="002813D1">
      <w:pPr>
        <w:spacing w:before="400" w:line="408" w:lineRule="exact"/>
        <w:ind w:firstLine="576"/>
        <w:rPr>
          <w:rFonts w:eastAsia="Times New Roman" w:cs="Times New Roman"/>
          <w:szCs w:val="22"/>
        </w:rPr>
      </w:pPr>
      <w:r w:rsidRPr="002813D1">
        <w:rPr>
          <w:rFonts w:eastAsia="Times New Roman" w:cs="Times New Roman"/>
          <w:szCs w:val="22"/>
        </w:rPr>
        <w:t>"</w:t>
      </w:r>
      <w:r w:rsidRPr="002813D1">
        <w:rPr>
          <w:rFonts w:eastAsia="Times New Roman" w:cs="Times New Roman"/>
          <w:szCs w:val="22"/>
          <w:u w:val="single"/>
        </w:rPr>
        <w:t>NEW SECTION.</w:t>
      </w:r>
      <w:r w:rsidRPr="002813D1">
        <w:rPr>
          <w:rFonts w:eastAsia="Times New Roman" w:cs="Times New Roman"/>
          <w:szCs w:val="22"/>
        </w:rPr>
        <w:t xml:space="preserve">  </w:t>
      </w:r>
      <w:r w:rsidRPr="002813D1">
        <w:rPr>
          <w:rFonts w:eastAsia="Times New Roman" w:cs="Times New Roman"/>
          <w:b/>
          <w:szCs w:val="22"/>
        </w:rPr>
        <w:t xml:space="preserve">Sec. </w:t>
      </w:r>
      <w:r w:rsidRPr="002813D1">
        <w:rPr>
          <w:rFonts w:eastAsia="Times New Roman" w:cs="Times New Roman"/>
          <w:b/>
          <w:szCs w:val="22"/>
        </w:rPr>
        <w:fldChar w:fldCharType="begin"/>
      </w:r>
      <w:r w:rsidRPr="002813D1">
        <w:rPr>
          <w:rFonts w:eastAsia="Times New Roman" w:cs="Times New Roman"/>
          <w:b/>
          <w:szCs w:val="22"/>
        </w:rPr>
        <w:instrText>LISTNUM  LegalDefault \l 1</w:instrText>
      </w:r>
      <w:r w:rsidRPr="002813D1">
        <w:rPr>
          <w:rFonts w:eastAsia="Times New Roman" w:cs="Times New Roman"/>
          <w:b/>
          <w:szCs w:val="22"/>
        </w:rPr>
        <w:fldChar w:fldCharType="end"/>
      </w:r>
      <w:r w:rsidRPr="002813D1">
        <w:rPr>
          <w:rFonts w:eastAsia="Times New Roman" w:cs="Times New Roman"/>
          <w:szCs w:val="22"/>
        </w:rPr>
        <w:t xml:space="preserve">  This act may be known and cited as the Washington voting rights act of 2015.</w:t>
      </w:r>
    </w:p>
    <w:p w:rsidRPr="002813D1" w:rsidR="002813D1" w:rsidP="002813D1" w:rsidRDefault="002813D1">
      <w:pPr>
        <w:spacing w:before="400" w:line="408" w:lineRule="exact"/>
        <w:ind w:firstLine="576"/>
        <w:rPr>
          <w:rFonts w:eastAsia="Times New Roman" w:cs="Times New Roman"/>
          <w:szCs w:val="22"/>
        </w:rPr>
      </w:pPr>
      <w:r w:rsidRPr="002813D1">
        <w:rPr>
          <w:rFonts w:eastAsia="Times New Roman" w:cs="Times New Roman"/>
          <w:szCs w:val="22"/>
          <w:u w:val="single"/>
        </w:rPr>
        <w:t>NEW SECTION.</w:t>
      </w:r>
      <w:r w:rsidRPr="002813D1">
        <w:rPr>
          <w:rFonts w:eastAsia="Times New Roman" w:cs="Times New Roman"/>
          <w:szCs w:val="22"/>
        </w:rPr>
        <w:t xml:space="preserve">  </w:t>
      </w:r>
      <w:r w:rsidRPr="002813D1">
        <w:rPr>
          <w:rFonts w:eastAsia="Times New Roman" w:cs="Times New Roman"/>
          <w:b/>
          <w:szCs w:val="22"/>
        </w:rPr>
        <w:t xml:space="preserve">Sec. </w:t>
      </w:r>
      <w:r w:rsidRPr="002813D1">
        <w:rPr>
          <w:rFonts w:eastAsia="Times New Roman" w:cs="Times New Roman"/>
          <w:b/>
          <w:szCs w:val="22"/>
        </w:rPr>
        <w:fldChar w:fldCharType="begin"/>
      </w:r>
      <w:r w:rsidRPr="002813D1">
        <w:rPr>
          <w:rFonts w:eastAsia="Times New Roman" w:cs="Times New Roman"/>
          <w:b/>
          <w:szCs w:val="22"/>
        </w:rPr>
        <w:instrText>LISTNUM  LegalDefault \l 1</w:instrText>
      </w:r>
      <w:r w:rsidRPr="002813D1">
        <w:rPr>
          <w:rFonts w:eastAsia="Times New Roman" w:cs="Times New Roman"/>
          <w:b/>
          <w:szCs w:val="22"/>
        </w:rPr>
        <w:fldChar w:fldCharType="end"/>
      </w:r>
      <w:r w:rsidRPr="002813D1">
        <w:rPr>
          <w:rFonts w:eastAsia="Times New Roman" w:cs="Times New Roman"/>
          <w:szCs w:val="22"/>
        </w:rPr>
        <w:t xml:space="preserve">  The definitions in this section apply throughout this chapter unless the context clearly requires otherwise. In applying these definitions and other terms in this chapter, courts may rely on relevant federal case law for guidance.</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(1) "At-large method of election" means any of the following methods of electing members of the governing body of a political subdivision:</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(a) One in which the voters of the entire jurisdiction elect the members to the governing body;</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(b) One in which the candidates are required to reside within given areas of the jurisdiction and the voters of the entire jurisdiction elect the members to the governing body; or</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(c) One that combines the criteria in (a) and (b) of this subsection.</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(2) "District-based elections" means a method of electing members to the governing body of a political subdivision in which the candidate must reside within an election district that is a divisible part of the political subdivision and is elected only by voters residing within that election district.</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 xml:space="preserve">(3) "Polarized voting" means voting in which there is a difference in the choice of candidates or other electoral choices </w:t>
      </w:r>
      <w:r w:rsidRPr="002813D1">
        <w:rPr>
          <w:rFonts w:eastAsia="Times New Roman" w:cs="Times New Roman"/>
          <w:szCs w:val="22"/>
        </w:rPr>
        <w:lastRenderedPageBreak/>
        <w:t>that are preferred by voters in a protected class, and in the choice of candidates and electoral choices that are preferred by voters in the rest of the electorate.</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(4) "Political subdivision" means any county, city, town, or school district, but does not include the state.</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(5) "Protected class" means a class of voters who are members of a race, color, or language minority group.</w:t>
      </w:r>
    </w:p>
    <w:p w:rsidRPr="002813D1" w:rsidR="002813D1" w:rsidP="002813D1" w:rsidRDefault="002813D1">
      <w:pPr>
        <w:spacing w:before="400" w:line="408" w:lineRule="exact"/>
        <w:ind w:firstLine="576"/>
        <w:rPr>
          <w:rFonts w:eastAsia="Times New Roman" w:cs="Times New Roman"/>
          <w:szCs w:val="22"/>
        </w:rPr>
      </w:pPr>
      <w:r w:rsidRPr="002813D1">
        <w:rPr>
          <w:rFonts w:eastAsia="Times New Roman" w:cs="Times New Roman"/>
          <w:szCs w:val="22"/>
          <w:u w:val="single"/>
        </w:rPr>
        <w:t>NEW SECTION.</w:t>
      </w:r>
      <w:r w:rsidRPr="002813D1">
        <w:rPr>
          <w:rFonts w:eastAsia="Times New Roman" w:cs="Times New Roman"/>
          <w:szCs w:val="22"/>
        </w:rPr>
        <w:t xml:space="preserve">  </w:t>
      </w:r>
      <w:r w:rsidRPr="002813D1">
        <w:rPr>
          <w:rFonts w:eastAsia="Times New Roman" w:cs="Times New Roman"/>
          <w:b/>
          <w:szCs w:val="22"/>
        </w:rPr>
        <w:t xml:space="preserve">Sec. </w:t>
      </w:r>
      <w:r w:rsidRPr="002813D1">
        <w:rPr>
          <w:rFonts w:eastAsia="Times New Roman" w:cs="Times New Roman"/>
          <w:b/>
          <w:szCs w:val="22"/>
        </w:rPr>
        <w:fldChar w:fldCharType="begin"/>
      </w:r>
      <w:r w:rsidRPr="002813D1">
        <w:rPr>
          <w:rFonts w:eastAsia="Times New Roman" w:cs="Times New Roman"/>
          <w:b/>
          <w:szCs w:val="22"/>
        </w:rPr>
        <w:instrText>LISTNUM  LegalDefault \l 1</w:instrText>
      </w:r>
      <w:r w:rsidRPr="002813D1">
        <w:rPr>
          <w:rFonts w:eastAsia="Times New Roman" w:cs="Times New Roman"/>
          <w:b/>
          <w:szCs w:val="22"/>
        </w:rPr>
        <w:fldChar w:fldCharType="end"/>
      </w:r>
      <w:r w:rsidRPr="002813D1">
        <w:rPr>
          <w:rFonts w:eastAsia="Times New Roman" w:cs="Times New Roman"/>
          <w:szCs w:val="22"/>
        </w:rPr>
        <w:t xml:space="preserve">  (1) A political subdivision is in violation of this section when it is shown that:</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(a) Based on a totality of the circumstance, elections in the political subdivision exhibit polarized voting; and</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(b) Members of a protected class do not have an equal opportunity to elect candidates of their choice or an equal opportunity to influence the outcome of an election.</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(2) In determining whether there is polarized voting under this section, the court shall analyze elections of the governing body of the political subdivision and elections in which at least five candidates are members of a protected class. Only elections conducted prior to the filing of an action pursuant to this chapter shall be used to establish or rebut the existence of polarized voting.</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(3) A political subdivision has an absolute defense from liability, and a finding of polarized voting is precluded, if the proportion of elected officials serving on the political subdivision's legislative body who are members of the protected class is statistically equivalent to, or greater than, the proportion of the voting age population who are members of the protected class.</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(4) No voting qualification or prerequisite to voting, or standard, practice, or procedure, may be imposed or applied by any political subdivision to deny or abridge the right to vote because they are a member of a race, color, or language minority group.</w:t>
      </w:r>
    </w:p>
    <w:p w:rsidRPr="002813D1" w:rsidR="002813D1" w:rsidP="002813D1" w:rsidRDefault="002813D1">
      <w:pPr>
        <w:spacing w:before="400" w:line="408" w:lineRule="exact"/>
        <w:ind w:firstLine="576"/>
        <w:rPr>
          <w:rFonts w:eastAsia="Times New Roman" w:cs="Times New Roman"/>
          <w:szCs w:val="22"/>
        </w:rPr>
      </w:pPr>
      <w:r w:rsidRPr="002813D1">
        <w:rPr>
          <w:rFonts w:eastAsia="Times New Roman" w:cs="Times New Roman"/>
          <w:szCs w:val="22"/>
          <w:u w:val="single"/>
        </w:rPr>
        <w:lastRenderedPageBreak/>
        <w:t>NEW SECTION.</w:t>
      </w:r>
      <w:r w:rsidRPr="002813D1">
        <w:rPr>
          <w:rFonts w:eastAsia="Times New Roman" w:cs="Times New Roman"/>
          <w:szCs w:val="22"/>
        </w:rPr>
        <w:t xml:space="preserve">  </w:t>
      </w:r>
      <w:r w:rsidRPr="002813D1">
        <w:rPr>
          <w:rFonts w:eastAsia="Times New Roman" w:cs="Times New Roman"/>
          <w:b/>
          <w:szCs w:val="22"/>
        </w:rPr>
        <w:t xml:space="preserve">Sec. </w:t>
      </w:r>
      <w:r w:rsidRPr="002813D1">
        <w:rPr>
          <w:rFonts w:eastAsia="Times New Roman" w:cs="Times New Roman"/>
          <w:b/>
          <w:szCs w:val="22"/>
        </w:rPr>
        <w:fldChar w:fldCharType="begin"/>
      </w:r>
      <w:r w:rsidRPr="002813D1">
        <w:rPr>
          <w:rFonts w:eastAsia="Times New Roman" w:cs="Times New Roman"/>
          <w:b/>
          <w:szCs w:val="22"/>
        </w:rPr>
        <w:instrText>LISTNUM  LegalDefault \l 1</w:instrText>
      </w:r>
      <w:r w:rsidRPr="002813D1">
        <w:rPr>
          <w:rFonts w:eastAsia="Times New Roman" w:cs="Times New Roman"/>
          <w:b/>
          <w:szCs w:val="22"/>
        </w:rPr>
        <w:fldChar w:fldCharType="end"/>
      </w:r>
      <w:r w:rsidRPr="002813D1">
        <w:rPr>
          <w:rFonts w:eastAsia="Times New Roman" w:cs="Times New Roman"/>
          <w:szCs w:val="22"/>
        </w:rPr>
        <w:t xml:space="preserve">  (1) In an action filed pursuant to this section, the trial court shall set a trial to be held no later than one year after the filing of a complaint, and shall set a discovery and motions calendar accordingly.</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(2) Proof of intent on the part of the voters or elected officials to discriminate against a protected class is not required for a cause of action to be sustained.</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(3) For purposes of any applicable statute of limitations, a cause of action under this section arises every time there is an election pursuant to an at-large method of election.</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(4) The plaintiff's constitutional right to the secrecy of the plaintiff's vote is preserved and is not waived by the filing of an action pursuant to this section, and is not subject to discovery or disclosure.</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(5) In seeking a temporary restraining order or a preliminary injunction, a plaintiff shall not be required to post a bond or any other security in order to secure such equitable relief.</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(6) No action may be filed pursuant to this act before January 15, 2016. No action may be filed against a political subdivision within four years of an action filed against that subdivision under the federal voting rights act.</w:t>
      </w:r>
    </w:p>
    <w:p w:rsidRPr="002813D1" w:rsidR="002813D1" w:rsidP="002813D1" w:rsidRDefault="002813D1">
      <w:pPr>
        <w:spacing w:before="400" w:line="408" w:lineRule="exact"/>
        <w:ind w:firstLine="576"/>
        <w:rPr>
          <w:rFonts w:eastAsia="Times New Roman" w:cs="Times New Roman"/>
          <w:szCs w:val="22"/>
        </w:rPr>
      </w:pPr>
      <w:r w:rsidRPr="002813D1">
        <w:rPr>
          <w:rFonts w:eastAsia="Times New Roman" w:cs="Times New Roman"/>
          <w:szCs w:val="22"/>
          <w:u w:val="single"/>
        </w:rPr>
        <w:t>NEW SECTION.</w:t>
      </w:r>
      <w:r w:rsidRPr="002813D1">
        <w:rPr>
          <w:rFonts w:eastAsia="Times New Roman" w:cs="Times New Roman"/>
          <w:szCs w:val="22"/>
        </w:rPr>
        <w:t xml:space="preserve">  </w:t>
      </w:r>
      <w:r w:rsidRPr="002813D1">
        <w:rPr>
          <w:rFonts w:eastAsia="Times New Roman" w:cs="Times New Roman"/>
          <w:b/>
          <w:szCs w:val="22"/>
        </w:rPr>
        <w:t xml:space="preserve">Sec. </w:t>
      </w:r>
      <w:r w:rsidRPr="002813D1">
        <w:rPr>
          <w:rFonts w:eastAsia="Times New Roman" w:cs="Times New Roman"/>
          <w:b/>
          <w:szCs w:val="22"/>
        </w:rPr>
        <w:fldChar w:fldCharType="begin"/>
      </w:r>
      <w:r w:rsidRPr="002813D1">
        <w:rPr>
          <w:rFonts w:eastAsia="Times New Roman" w:cs="Times New Roman"/>
          <w:b/>
          <w:szCs w:val="22"/>
        </w:rPr>
        <w:instrText>LISTNUM  LegalDefault \l 1</w:instrText>
      </w:r>
      <w:r w:rsidRPr="002813D1">
        <w:rPr>
          <w:rFonts w:eastAsia="Times New Roman" w:cs="Times New Roman"/>
          <w:b/>
          <w:szCs w:val="22"/>
        </w:rPr>
        <w:fldChar w:fldCharType="end"/>
      </w:r>
      <w:r w:rsidRPr="002813D1">
        <w:rPr>
          <w:rFonts w:eastAsia="Times New Roman" w:cs="Times New Roman"/>
          <w:szCs w:val="22"/>
        </w:rPr>
        <w:t xml:space="preserve">  (1) A political subdivision that conducts an election pursuant to state, county, or local law, is authorized to change its electoral system including, but not limited to, implementing a district-based election system to remedy a potential violation of section 3 of this act. If a political subdivision invokes its authority under this section to implement a district-based election system, the districts shall be drawn in a manner consistent with section 6 of this act.</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(2) If a political subdivision implements a district-based election system, the plan shall be consistent with the following criteria:</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(a) Each district shall be as reasonably equal in population as possible to each and every other such district comprising the political subdivision.</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(b) Each district shall be reasonably compact.</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(c) Each district shall consist of geographically contiguous area.</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(d) To the extent feasible, the district boundaries shall coincide with existing recognized natural boundaries and shall, to the extent possible, preserve existing communities of related and mutual interest.</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(e) District boundaries may not be drawn or maintained in a manner that denies any person an equal opportunity to elect candidates of his or her choice or an equal opportunity to influence the outcome of an election.</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(3) During the adoption of its plan, the political subdivision shall ensure that full and reasonable public notice of its actions is provided. The political subdivision shall hold at least one public hearing on the redistricting plan at least one week before adoption of the plan.</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(4)(a) If the political subdivision invokes its authority under this section and the plan is adopted during the period of time between the first Tuesday after the first Monday of November and on or before January 15th of the following year, the political subdivision shall order new elections to occur at the next succeeding general election.</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(b) If the political subdivision invokes its authority under this section and the plan is adopted during the period of time between January 16th and on or before the first Monday of November, the next election will occur as scheduled and organized under the current electoral system, but the political subdivision shall order new elections to occur pursuant to the remedy at the general election the following calendar year.</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(c) All of the positions that were elected pursuant to the previous electoral system may continue their term of office.</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(5) Within forty-five days after receipt of federal decennial census information applicable to a specific local area, the commission established in RCW 44.05.030 shall forward the census information to each political subdivision that has invoked its authority under this section to implement a district-based election system, or that is charged with redistricting under section 6 of this act.</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(6) No later than eight months after its receipt of federal decennial census data, the governing body of the political subdivision that had previously invoked its authority under this section to implement a district-based election system, or that was previously charged with redistricting under section 4 of this act, shall prepare a plan for redistricting its districts, pursuant to RCW 29A.76.010, and in a manner consistent with this act.</w:t>
      </w:r>
    </w:p>
    <w:p w:rsidRPr="002813D1" w:rsidR="002813D1" w:rsidP="002813D1" w:rsidRDefault="002813D1">
      <w:pPr>
        <w:spacing w:before="400" w:line="408" w:lineRule="exact"/>
        <w:ind w:firstLine="576"/>
        <w:rPr>
          <w:rFonts w:eastAsia="Times New Roman" w:cs="Times New Roman"/>
          <w:szCs w:val="22"/>
        </w:rPr>
      </w:pPr>
      <w:r w:rsidRPr="002813D1">
        <w:rPr>
          <w:rFonts w:eastAsia="Times New Roman" w:cs="Times New Roman"/>
          <w:szCs w:val="22"/>
          <w:u w:val="single"/>
        </w:rPr>
        <w:t>NEW SECTION.</w:t>
      </w:r>
      <w:r w:rsidRPr="002813D1">
        <w:rPr>
          <w:rFonts w:eastAsia="Times New Roman" w:cs="Times New Roman"/>
          <w:szCs w:val="22"/>
        </w:rPr>
        <w:t xml:space="preserve">  </w:t>
      </w:r>
      <w:r w:rsidRPr="002813D1">
        <w:rPr>
          <w:rFonts w:eastAsia="Times New Roman" w:cs="Times New Roman"/>
          <w:b/>
          <w:szCs w:val="22"/>
        </w:rPr>
        <w:t xml:space="preserve">Sec. </w:t>
      </w:r>
      <w:r w:rsidRPr="002813D1">
        <w:rPr>
          <w:rFonts w:eastAsia="Times New Roman" w:cs="Times New Roman"/>
          <w:b/>
          <w:szCs w:val="22"/>
        </w:rPr>
        <w:fldChar w:fldCharType="begin"/>
      </w:r>
      <w:r w:rsidRPr="002813D1">
        <w:rPr>
          <w:rFonts w:eastAsia="Times New Roman" w:cs="Times New Roman"/>
          <w:b/>
          <w:szCs w:val="22"/>
        </w:rPr>
        <w:instrText>LISTNUM  LegalDefault \l 1</w:instrText>
      </w:r>
      <w:r w:rsidRPr="002813D1">
        <w:rPr>
          <w:rFonts w:eastAsia="Times New Roman" w:cs="Times New Roman"/>
          <w:b/>
          <w:szCs w:val="22"/>
        </w:rPr>
        <w:fldChar w:fldCharType="end"/>
      </w:r>
      <w:r w:rsidRPr="002813D1">
        <w:rPr>
          <w:rFonts w:eastAsia="Times New Roman" w:cs="Times New Roman"/>
          <w:szCs w:val="22"/>
        </w:rPr>
        <w:t xml:space="preserve">  (1) Upon a finding of a violation of section 3 of this act, the court shall order appropriate remedies that are tailored to remedy the violation. The remedies may include, but are not limited to, the imposition of a district-based election system. The court may order the affected jurisdiction to draw or redraw district boundaries or appoint an individual or panel to draw or redraw district lines. The proposed districts must be approved by the court prior to their implementation.</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(2) Implementation of a district-based remedy, pursuant to section 4 of this act, is not precluded by the fact that members of a protected class do not constitute a numerical majority within a proposed district-based election district. If, in tailoring a remedy, the court orders the implementation of a district-based election district where the members of the protected class are not a numerical majority, the court shall do so in a manner that provides the protected class an equal opportunity to elect candidates of their choice or an equal opportunity to influence the outcome of an election.</w:t>
      </w:r>
    </w:p>
    <w:p w:rsidRPr="002813D1" w:rsidR="002813D1" w:rsidP="002813D1" w:rsidRDefault="002813D1">
      <w:pPr>
        <w:spacing w:before="400" w:line="408" w:lineRule="exact"/>
        <w:ind w:firstLine="576"/>
        <w:rPr>
          <w:rFonts w:eastAsia="Times New Roman" w:cs="Times New Roman"/>
          <w:szCs w:val="22"/>
        </w:rPr>
      </w:pPr>
      <w:r w:rsidRPr="002813D1">
        <w:rPr>
          <w:rFonts w:eastAsia="Times New Roman" w:cs="Times New Roman"/>
          <w:szCs w:val="22"/>
          <w:u w:val="single"/>
        </w:rPr>
        <w:t>NEW SECTION.</w:t>
      </w:r>
      <w:r w:rsidRPr="002813D1">
        <w:rPr>
          <w:rFonts w:eastAsia="Times New Roman" w:cs="Times New Roman"/>
          <w:szCs w:val="22"/>
        </w:rPr>
        <w:t xml:space="preserve">  </w:t>
      </w:r>
      <w:r w:rsidRPr="002813D1">
        <w:rPr>
          <w:rFonts w:eastAsia="Times New Roman" w:cs="Times New Roman"/>
          <w:b/>
          <w:szCs w:val="22"/>
        </w:rPr>
        <w:t xml:space="preserve">Sec. </w:t>
      </w:r>
      <w:r w:rsidRPr="002813D1">
        <w:rPr>
          <w:rFonts w:eastAsia="Times New Roman" w:cs="Times New Roman"/>
          <w:b/>
          <w:szCs w:val="22"/>
        </w:rPr>
        <w:fldChar w:fldCharType="begin"/>
      </w:r>
      <w:r w:rsidRPr="002813D1">
        <w:rPr>
          <w:rFonts w:eastAsia="Times New Roman" w:cs="Times New Roman"/>
          <w:b/>
          <w:szCs w:val="22"/>
        </w:rPr>
        <w:instrText>LISTNUM  LegalDefault \l 1</w:instrText>
      </w:r>
      <w:r w:rsidRPr="002813D1">
        <w:rPr>
          <w:rFonts w:eastAsia="Times New Roman" w:cs="Times New Roman"/>
          <w:b/>
          <w:szCs w:val="22"/>
        </w:rPr>
        <w:fldChar w:fldCharType="end"/>
      </w:r>
      <w:r w:rsidRPr="002813D1">
        <w:rPr>
          <w:rFonts w:eastAsia="Times New Roman" w:cs="Times New Roman"/>
          <w:szCs w:val="22"/>
        </w:rPr>
        <w:t xml:space="preserve">  (1) In any action to enforce this chapter, the court may allow the prevailing plaintiff or plaintiffs, other than the state or political subdivision thereof, reasonable attorneys' fees, all nonattorney fee costs as defined by RCW 4.84.010, and all reasonable expert witness fees. However, the court may elect not to allow the award of attorneys' fees, costs, or expert witness fees under this section or may elect to reduce the amount of fees and costs awarded when, in the court's determination:</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(a) The award would create undue hardship to the political subdivision; and</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(b) The award would directly impact the ability of the political subdivision to provide services to low-income protected class members within the political subdivision.</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(2) Prevailing defendants may recover an award of fees or costs pursuant to RCW 4.84.185.</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(3) No fees or costs may be awarded if no action is filed.</w:t>
      </w:r>
    </w:p>
    <w:p w:rsidRPr="002813D1" w:rsidR="002813D1" w:rsidP="002813D1" w:rsidRDefault="002813D1">
      <w:pPr>
        <w:spacing w:before="400" w:line="408" w:lineRule="exact"/>
        <w:ind w:firstLine="576"/>
        <w:rPr>
          <w:rFonts w:eastAsia="Times New Roman" w:cs="Times New Roman"/>
          <w:szCs w:val="22"/>
        </w:rPr>
      </w:pPr>
      <w:r w:rsidRPr="002813D1">
        <w:rPr>
          <w:rFonts w:eastAsia="Times New Roman" w:cs="Times New Roman"/>
          <w:szCs w:val="22"/>
          <w:u w:val="single"/>
        </w:rPr>
        <w:t>NEW SECTION.</w:t>
      </w:r>
      <w:r w:rsidRPr="002813D1">
        <w:rPr>
          <w:rFonts w:eastAsia="Times New Roman" w:cs="Times New Roman"/>
          <w:szCs w:val="22"/>
        </w:rPr>
        <w:t xml:space="preserve">  </w:t>
      </w:r>
      <w:r w:rsidRPr="002813D1">
        <w:rPr>
          <w:rFonts w:eastAsia="Times New Roman" w:cs="Times New Roman"/>
          <w:b/>
          <w:szCs w:val="22"/>
        </w:rPr>
        <w:t xml:space="preserve">Sec. </w:t>
      </w:r>
      <w:r w:rsidRPr="002813D1">
        <w:rPr>
          <w:rFonts w:eastAsia="Times New Roman" w:cs="Times New Roman"/>
          <w:b/>
          <w:szCs w:val="22"/>
        </w:rPr>
        <w:fldChar w:fldCharType="begin"/>
      </w:r>
      <w:r w:rsidRPr="002813D1">
        <w:rPr>
          <w:rFonts w:eastAsia="Times New Roman" w:cs="Times New Roman"/>
          <w:b/>
          <w:szCs w:val="22"/>
        </w:rPr>
        <w:instrText>LISTNUM  LegalDefault \l 1</w:instrText>
      </w:r>
      <w:r w:rsidRPr="002813D1">
        <w:rPr>
          <w:rFonts w:eastAsia="Times New Roman" w:cs="Times New Roman"/>
          <w:b/>
          <w:szCs w:val="22"/>
        </w:rPr>
        <w:fldChar w:fldCharType="end"/>
      </w:r>
      <w:r w:rsidRPr="002813D1">
        <w:rPr>
          <w:rFonts w:eastAsia="Times New Roman" w:cs="Times New Roman"/>
          <w:szCs w:val="22"/>
        </w:rPr>
        <w:t xml:space="preserve">  Any voter who is a member of a protected class and who resides in a political subdivision where a violation of section 3 of this act is alleged may file an action in the superior court of the county in which the political subdivision is located. If the action is against a county, the action may be filed in the superior court of such county, or in the superior court of either of the two nearest judicial districts as determined pursuant to RCW 36.01.050(2). An action filed pursuant to this chapter does not need to be filed as a class action.</w:t>
      </w:r>
    </w:p>
    <w:p w:rsidRPr="002813D1" w:rsidR="002813D1" w:rsidP="002813D1" w:rsidRDefault="002813D1">
      <w:pPr>
        <w:spacing w:before="400" w:line="408" w:lineRule="exact"/>
        <w:ind w:firstLine="576"/>
        <w:rPr>
          <w:rFonts w:eastAsia="Times New Roman" w:cs="Times New Roman"/>
          <w:szCs w:val="22"/>
        </w:rPr>
      </w:pPr>
      <w:r w:rsidRPr="002813D1">
        <w:rPr>
          <w:rFonts w:eastAsia="Times New Roman" w:cs="Times New Roman"/>
          <w:szCs w:val="22"/>
          <w:u w:val="single"/>
        </w:rPr>
        <w:t>NEW SECTION.</w:t>
      </w:r>
      <w:r w:rsidRPr="002813D1">
        <w:rPr>
          <w:rFonts w:eastAsia="Times New Roman" w:cs="Times New Roman"/>
          <w:szCs w:val="22"/>
        </w:rPr>
        <w:t xml:space="preserve">  </w:t>
      </w:r>
      <w:r w:rsidRPr="002813D1">
        <w:rPr>
          <w:rFonts w:eastAsia="Times New Roman" w:cs="Times New Roman"/>
          <w:b/>
          <w:szCs w:val="22"/>
        </w:rPr>
        <w:t xml:space="preserve">Sec. </w:t>
      </w:r>
      <w:r w:rsidRPr="002813D1">
        <w:rPr>
          <w:rFonts w:eastAsia="Times New Roman" w:cs="Times New Roman"/>
          <w:b/>
          <w:szCs w:val="22"/>
        </w:rPr>
        <w:fldChar w:fldCharType="begin"/>
      </w:r>
      <w:r w:rsidRPr="002813D1">
        <w:rPr>
          <w:rFonts w:eastAsia="Times New Roman" w:cs="Times New Roman"/>
          <w:b/>
          <w:szCs w:val="22"/>
        </w:rPr>
        <w:instrText>LISTNUM  LegalDefault \l 1</w:instrText>
      </w:r>
      <w:r w:rsidRPr="002813D1">
        <w:rPr>
          <w:rFonts w:eastAsia="Times New Roman" w:cs="Times New Roman"/>
          <w:b/>
          <w:szCs w:val="22"/>
        </w:rPr>
        <w:fldChar w:fldCharType="end"/>
      </w:r>
      <w:r w:rsidRPr="002813D1">
        <w:rPr>
          <w:rFonts w:eastAsia="Times New Roman" w:cs="Times New Roman"/>
          <w:szCs w:val="22"/>
        </w:rPr>
        <w:t xml:space="preserve">  (1) Prior to filing an action pursuant to this act, a person shall first notify the political subdivision that he or she intends to challenge the political subdivision's electoral system under this act. If the political subdivision does not show any intent to invoke its authority under section 5 of this act to implement the person's proposed remedy within one hundred eighty days after receiving notice, any person may file an action under this act.</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(2) The notice provided shall identify the person or persons who intend to file an action, and the protected class or classes whose members do not have an equal opportunity to elect candidates of their choice or an equal opportunity to influence the outcome of an election. The notice shall also include a reasonable analysis of the person's data concerning the alleged vote dilution and polarized voting, and a proposed remedy or remedies, based on that data, which would address the alleged violation of section 3 of this act.</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(3) If, within one hundred eighty days after receiving a person's notice, a political subdivision receives another notice containing a materially different proposed remedy than the first notice, the political subdivision shall have an additional ninety days from the date of this subsequent notice before an action may be filed under this act.</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(4) The political subdivision shall work in good faith with the person providing the notice to implement a remedy that provides the protected class or classes identified in the notice an equal opportunity to elect candidates of their choice or influence the outcome of an election.</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(5) Should the political subdivision adopt the proposed remedy set forth in the notice,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(6) Should the political subdivision adopt a different remedy that takes the notice into account, the political subdivision may seek a court order acknowledging that the political subdivision's remedy complies with section 3 of this act. The person who submitted the notice may support or oppose such an order. If the court concludes that the political subdivision's remedy complies with section 3 of this act,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(7) If a political subdivision has received two or more notices containing materially different proposed remedies, the political subdivision shall work in good faith with the persons to implement a remedy that provides the protected class or classes identified in the notices an equal opportunity to elect candidates of their choice or influence the outcome of an election. Should the political subdivision adopt one of the remedies offered, or a different remedy that takes multiple notices into account, the political subdivision may seek a court order acknowledging that the political subdivision's remedy complies with section 3 of this act. The persons who submitted notices may support or oppose such an order. If the court concludes that the political subdivision's remedy complies with section 3 of this act,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rsidRPr="002813D1" w:rsidR="002813D1" w:rsidP="002813D1" w:rsidRDefault="002813D1">
      <w:pPr>
        <w:spacing w:before="400" w:line="408" w:lineRule="exact"/>
        <w:ind w:firstLine="576"/>
        <w:rPr>
          <w:rFonts w:eastAsia="Times New Roman" w:cs="Times New Roman"/>
          <w:szCs w:val="22"/>
        </w:rPr>
      </w:pPr>
      <w:r w:rsidRPr="002813D1">
        <w:rPr>
          <w:rFonts w:eastAsia="Times New Roman" w:cs="Times New Roman"/>
          <w:szCs w:val="22"/>
          <w:u w:val="single"/>
        </w:rPr>
        <w:t>NEW SECTION.</w:t>
      </w:r>
      <w:r w:rsidRPr="002813D1">
        <w:rPr>
          <w:rFonts w:eastAsia="Times New Roman" w:cs="Times New Roman"/>
          <w:szCs w:val="22"/>
        </w:rPr>
        <w:t xml:space="preserve">  </w:t>
      </w:r>
      <w:r w:rsidRPr="002813D1">
        <w:rPr>
          <w:rFonts w:eastAsia="Times New Roman" w:cs="Times New Roman"/>
          <w:b/>
          <w:szCs w:val="22"/>
        </w:rPr>
        <w:t xml:space="preserve">Sec. </w:t>
      </w:r>
      <w:r w:rsidRPr="002813D1">
        <w:rPr>
          <w:rFonts w:eastAsia="Times New Roman" w:cs="Times New Roman"/>
          <w:b/>
          <w:szCs w:val="22"/>
        </w:rPr>
        <w:fldChar w:fldCharType="begin"/>
      </w:r>
      <w:r w:rsidRPr="002813D1">
        <w:rPr>
          <w:rFonts w:eastAsia="Times New Roman" w:cs="Times New Roman"/>
          <w:b/>
          <w:szCs w:val="22"/>
        </w:rPr>
        <w:instrText>LISTNUM  LegalDefault \l 1</w:instrText>
      </w:r>
      <w:r w:rsidRPr="002813D1">
        <w:rPr>
          <w:rFonts w:eastAsia="Times New Roman" w:cs="Times New Roman"/>
          <w:b/>
          <w:szCs w:val="22"/>
        </w:rPr>
        <w:fldChar w:fldCharType="end"/>
      </w:r>
      <w:r w:rsidRPr="002813D1">
        <w:rPr>
          <w:rFonts w:eastAsia="Times New Roman" w:cs="Times New Roman"/>
          <w:szCs w:val="22"/>
        </w:rPr>
        <w:t xml:space="preserve">  (1) If, after considering the person's notice, the political subdivision adopts a remedy, an action under this act by any person may not be brought against that political subdivision for four years; provided, however, that the political subdivision does not enact a change to or deviation from the remedy during this four-year period that would otherwise give rise to an action under this act. In agreeing to adopt the person's proposed remedy, the political subdivision may do so by stipulation, which shall become a public document.</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(2) If, after an action is filed, the political subdivision adopts the person's proposed remedy or a court-ordered remedy, or another remedy that would satisfy the court,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rsidRPr="002813D1" w:rsidR="002813D1" w:rsidP="002813D1" w:rsidRDefault="002813D1">
      <w:pPr>
        <w:spacing w:before="400" w:line="408" w:lineRule="exact"/>
        <w:ind w:firstLine="576"/>
        <w:rPr>
          <w:rFonts w:eastAsia="Times New Roman" w:cs="Times New Roman"/>
          <w:szCs w:val="22"/>
        </w:rPr>
      </w:pPr>
      <w:r w:rsidRPr="002813D1">
        <w:rPr>
          <w:rFonts w:eastAsia="Times New Roman" w:cs="Times New Roman"/>
          <w:szCs w:val="22"/>
          <w:u w:val="single"/>
        </w:rPr>
        <w:t>NEW SECTION.</w:t>
      </w:r>
      <w:r w:rsidRPr="002813D1">
        <w:rPr>
          <w:rFonts w:eastAsia="Times New Roman" w:cs="Times New Roman"/>
          <w:szCs w:val="22"/>
        </w:rPr>
        <w:t xml:space="preserve">  </w:t>
      </w:r>
      <w:r w:rsidRPr="002813D1">
        <w:rPr>
          <w:rFonts w:eastAsia="Times New Roman" w:cs="Times New Roman"/>
          <w:b/>
          <w:szCs w:val="22"/>
        </w:rPr>
        <w:t xml:space="preserve">Sec. </w:t>
      </w:r>
      <w:r w:rsidRPr="002813D1">
        <w:rPr>
          <w:rFonts w:eastAsia="Times New Roman" w:cs="Times New Roman"/>
          <w:b/>
          <w:szCs w:val="22"/>
        </w:rPr>
        <w:fldChar w:fldCharType="begin"/>
      </w:r>
      <w:r w:rsidRPr="002813D1">
        <w:rPr>
          <w:rFonts w:eastAsia="Times New Roman" w:cs="Times New Roman"/>
          <w:b/>
          <w:szCs w:val="22"/>
        </w:rPr>
        <w:instrText>LISTNUM  LegalDefault \l 1</w:instrText>
      </w:r>
      <w:r w:rsidRPr="002813D1">
        <w:rPr>
          <w:rFonts w:eastAsia="Times New Roman" w:cs="Times New Roman"/>
          <w:b/>
          <w:szCs w:val="22"/>
        </w:rPr>
        <w:fldChar w:fldCharType="end"/>
      </w:r>
      <w:r w:rsidRPr="002813D1">
        <w:rPr>
          <w:rFonts w:eastAsia="Times New Roman" w:cs="Times New Roman"/>
          <w:szCs w:val="22"/>
        </w:rPr>
        <w:t xml:space="preserve">  The provisions of this act are not applicable to cities and towns with populations under two thousand or to school districts with K-12 full-time equivalent enrollments of less than five hundred.</w:t>
      </w:r>
    </w:p>
    <w:p w:rsidRPr="002813D1" w:rsidR="002813D1" w:rsidP="002813D1" w:rsidRDefault="002813D1">
      <w:pPr>
        <w:spacing w:before="400" w:line="408" w:lineRule="exact"/>
        <w:ind w:firstLine="576"/>
        <w:rPr>
          <w:rFonts w:eastAsia="Times New Roman" w:cs="Times New Roman"/>
          <w:szCs w:val="22"/>
        </w:rPr>
      </w:pPr>
      <w:r w:rsidRPr="002813D1">
        <w:rPr>
          <w:rFonts w:eastAsia="Times New Roman" w:cs="Times New Roman"/>
          <w:szCs w:val="22"/>
          <w:u w:val="single"/>
        </w:rPr>
        <w:t>NEW SECTION.</w:t>
      </w:r>
      <w:r w:rsidRPr="002813D1">
        <w:rPr>
          <w:rFonts w:eastAsia="Times New Roman" w:cs="Times New Roman"/>
          <w:szCs w:val="22"/>
        </w:rPr>
        <w:t xml:space="preserve">  </w:t>
      </w:r>
      <w:r w:rsidRPr="002813D1">
        <w:rPr>
          <w:rFonts w:eastAsia="Times New Roman" w:cs="Times New Roman"/>
          <w:b/>
          <w:szCs w:val="22"/>
        </w:rPr>
        <w:t xml:space="preserve">Sec. </w:t>
      </w:r>
      <w:r w:rsidRPr="002813D1">
        <w:rPr>
          <w:rFonts w:eastAsia="Times New Roman" w:cs="Times New Roman"/>
          <w:b/>
          <w:szCs w:val="22"/>
        </w:rPr>
        <w:fldChar w:fldCharType="begin"/>
      </w:r>
      <w:r w:rsidRPr="002813D1">
        <w:rPr>
          <w:rFonts w:eastAsia="Times New Roman" w:cs="Times New Roman"/>
          <w:b/>
          <w:szCs w:val="22"/>
        </w:rPr>
        <w:instrText>LISTNUM  LegalDefault \l 1</w:instrText>
      </w:r>
      <w:r w:rsidRPr="002813D1">
        <w:rPr>
          <w:rFonts w:eastAsia="Times New Roman" w:cs="Times New Roman"/>
          <w:b/>
          <w:szCs w:val="22"/>
        </w:rPr>
        <w:fldChar w:fldCharType="end"/>
      </w:r>
      <w:r w:rsidRPr="002813D1">
        <w:rPr>
          <w:rFonts w:eastAsia="Times New Roman" w:cs="Times New Roman"/>
          <w:szCs w:val="22"/>
        </w:rPr>
        <w:t xml:space="preserve">  A new section is added to chapter 28A.343 RCW to read as follows:</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The school board of directors may authorize a change to a district-based election as defined in section 2(2) of this act, such districts to be drawn in a manner consistent with sections 5 and 6 of this act. The school board of directors shall order new elections to be scheduled pursuant to section 5(4) of this act. The staggering of directors' terms shall be accomplished as provided in RCW 28A.343.030 and 28A.343.620 through 28A.343.650.</w:t>
      </w:r>
    </w:p>
    <w:p w:rsidRPr="002813D1" w:rsidR="002813D1" w:rsidP="002813D1" w:rsidRDefault="002813D1">
      <w:pPr>
        <w:spacing w:before="400" w:line="408" w:lineRule="exact"/>
        <w:ind w:firstLine="576"/>
        <w:rPr>
          <w:rFonts w:eastAsia="Times New Roman" w:cs="Times New Roman"/>
          <w:szCs w:val="22"/>
        </w:rPr>
      </w:pPr>
      <w:r w:rsidRPr="002813D1">
        <w:rPr>
          <w:rFonts w:eastAsia="Times New Roman" w:cs="Times New Roman"/>
          <w:b/>
          <w:szCs w:val="22"/>
        </w:rPr>
        <w:t xml:space="preserve">Sec. </w:t>
      </w:r>
      <w:r w:rsidRPr="002813D1">
        <w:rPr>
          <w:rFonts w:eastAsia="Times New Roman" w:cs="Times New Roman"/>
          <w:b/>
          <w:szCs w:val="22"/>
        </w:rPr>
        <w:fldChar w:fldCharType="begin"/>
      </w:r>
      <w:r w:rsidRPr="002813D1">
        <w:rPr>
          <w:rFonts w:eastAsia="Times New Roman" w:cs="Times New Roman"/>
          <w:b/>
          <w:szCs w:val="22"/>
        </w:rPr>
        <w:instrText>LISTNUM  LegalDefault \l 1</w:instrText>
      </w:r>
      <w:r w:rsidRPr="002813D1">
        <w:rPr>
          <w:rFonts w:eastAsia="Times New Roman" w:cs="Times New Roman"/>
          <w:b/>
          <w:szCs w:val="22"/>
        </w:rPr>
        <w:fldChar w:fldCharType="end"/>
      </w:r>
      <w:r w:rsidRPr="002813D1">
        <w:rPr>
          <w:rFonts w:eastAsia="Times New Roman" w:cs="Times New Roman"/>
          <w:szCs w:val="22"/>
        </w:rPr>
        <w:t xml:space="preserve">  RCW 36.32.020 and 1982 c 226 s 4 are each amended to read as follows:</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The board of county commissioners of each county shall divide their county into three commissioner districts so that each district shall comprise as nearly as possible one-third of the population of the county: PROVIDED, That the territory comprised in any voting precincts of such districts shall remain compact, and shall not be divided by the lines of said districts.</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However, the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shall comprise, as nearly as possible, equal populations.</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u w:val="single"/>
        </w:rPr>
        <w:t>Except where necessary to comply with a court order issued pursuant to sections 3 and 6 of this act, t</w:t>
      </w:r>
      <w:r w:rsidRPr="002813D1">
        <w:rPr>
          <w:rFonts w:eastAsia="Times New Roman" w:cs="Times New Roman"/>
          <w:szCs w:val="22"/>
        </w:rPr>
        <w:t>he lines of the districts shall not be changed ((</w:t>
      </w:r>
      <w:r w:rsidRPr="002813D1">
        <w:rPr>
          <w:rFonts w:eastAsia="Times New Roman" w:cs="Times New Roman"/>
          <w:strike/>
          <w:szCs w:val="22"/>
        </w:rPr>
        <w:t>oftener</w:t>
      </w:r>
      <w:r w:rsidRPr="002813D1">
        <w:rPr>
          <w:rFonts w:eastAsia="Times New Roman" w:cs="Times New Roman"/>
          <w:szCs w:val="22"/>
        </w:rPr>
        <w:t xml:space="preserve">)) </w:t>
      </w:r>
      <w:r w:rsidRPr="002813D1">
        <w:rPr>
          <w:rFonts w:eastAsia="Times New Roman" w:cs="Times New Roman"/>
          <w:szCs w:val="22"/>
          <w:u w:val="single"/>
        </w:rPr>
        <w:t>more often</w:t>
      </w:r>
      <w:r w:rsidRPr="002813D1">
        <w:rPr>
          <w:rFonts w:eastAsia="Times New Roman" w:cs="Times New Roman"/>
          <w:szCs w:val="22"/>
        </w:rPr>
        <w:t xml:space="preserve"> than once in four years and only when a full board of commissioners is present. The districts shall be designated as districts numbered one, two and three.</w:t>
      </w:r>
    </w:p>
    <w:p w:rsidRPr="002813D1" w:rsidR="002813D1" w:rsidP="002813D1" w:rsidRDefault="002813D1">
      <w:pPr>
        <w:spacing w:before="400" w:line="408" w:lineRule="exact"/>
        <w:ind w:firstLine="576"/>
        <w:rPr>
          <w:rFonts w:eastAsia="Times New Roman" w:cs="Times New Roman"/>
          <w:szCs w:val="22"/>
        </w:rPr>
      </w:pPr>
      <w:r w:rsidRPr="002813D1">
        <w:rPr>
          <w:rFonts w:eastAsia="Times New Roman" w:cs="Times New Roman"/>
          <w:szCs w:val="22"/>
          <w:u w:val="single"/>
        </w:rPr>
        <w:t>NEW SECTION.</w:t>
      </w:r>
      <w:r w:rsidRPr="002813D1">
        <w:rPr>
          <w:rFonts w:eastAsia="Times New Roman" w:cs="Times New Roman"/>
          <w:szCs w:val="22"/>
        </w:rPr>
        <w:t xml:space="preserve">  </w:t>
      </w:r>
      <w:r w:rsidRPr="002813D1">
        <w:rPr>
          <w:rFonts w:eastAsia="Times New Roman" w:cs="Times New Roman"/>
          <w:b/>
          <w:szCs w:val="22"/>
        </w:rPr>
        <w:t xml:space="preserve">Sec. </w:t>
      </w:r>
      <w:r w:rsidRPr="002813D1">
        <w:rPr>
          <w:rFonts w:eastAsia="Times New Roman" w:cs="Times New Roman"/>
          <w:b/>
          <w:szCs w:val="22"/>
        </w:rPr>
        <w:fldChar w:fldCharType="begin"/>
      </w:r>
      <w:r w:rsidRPr="002813D1">
        <w:rPr>
          <w:rFonts w:eastAsia="Times New Roman" w:cs="Times New Roman"/>
          <w:b/>
          <w:szCs w:val="22"/>
        </w:rPr>
        <w:instrText>LISTNUM  LegalDefault \l 1</w:instrText>
      </w:r>
      <w:r w:rsidRPr="002813D1">
        <w:rPr>
          <w:rFonts w:eastAsia="Times New Roman" w:cs="Times New Roman"/>
          <w:b/>
          <w:szCs w:val="22"/>
        </w:rPr>
        <w:fldChar w:fldCharType="end"/>
      </w:r>
      <w:r w:rsidR="00E52EAD">
        <w:rPr>
          <w:rFonts w:eastAsia="Times New Roman" w:cs="Times New Roman"/>
          <w:szCs w:val="22"/>
        </w:rPr>
        <w:t xml:space="preserve">  A new section is added </w:t>
      </w:r>
      <w:r w:rsidRPr="002813D1">
        <w:rPr>
          <w:rFonts w:eastAsia="Times New Roman" w:cs="Times New Roman"/>
          <w:szCs w:val="22"/>
        </w:rPr>
        <w:t xml:space="preserve">to </w:t>
      </w:r>
      <w:r w:rsidR="00E52EAD">
        <w:rPr>
          <w:rFonts w:eastAsia="Times New Roman" w:cs="Times New Roman"/>
          <w:szCs w:val="22"/>
        </w:rPr>
        <w:t xml:space="preserve">chapter 35.21 RCW to </w:t>
      </w:r>
      <w:r w:rsidRPr="002813D1">
        <w:rPr>
          <w:rFonts w:eastAsia="Times New Roman" w:cs="Times New Roman"/>
          <w:szCs w:val="22"/>
        </w:rPr>
        <w:t>read as follows:</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The legislative authority of a city or town may authorize a change to its electoral system, including the implementation of a district-based election system as defined in section 2(2) of this act, to remedy a potential violation of section 3 of this act. If the legislative authority of a city or town invokes its authority under this section to implement a district-based election system, the districts shall be drawn in a manner consistent with section 5 of this act.</w:t>
      </w:r>
    </w:p>
    <w:p w:rsidRPr="002813D1" w:rsidR="002813D1" w:rsidP="002813D1" w:rsidRDefault="002813D1">
      <w:pPr>
        <w:spacing w:before="400" w:line="408" w:lineRule="exact"/>
        <w:ind w:firstLine="576"/>
        <w:rPr>
          <w:rFonts w:eastAsia="Times New Roman" w:cs="Times New Roman"/>
          <w:szCs w:val="22"/>
        </w:rPr>
      </w:pPr>
      <w:r w:rsidRPr="002813D1">
        <w:rPr>
          <w:rFonts w:eastAsia="Times New Roman" w:cs="Times New Roman"/>
          <w:szCs w:val="22"/>
          <w:u w:val="single"/>
        </w:rPr>
        <w:t>NEW SECTION.</w:t>
      </w:r>
      <w:r w:rsidRPr="002813D1">
        <w:rPr>
          <w:rFonts w:eastAsia="Times New Roman" w:cs="Times New Roman"/>
          <w:szCs w:val="22"/>
        </w:rPr>
        <w:t xml:space="preserve">  </w:t>
      </w:r>
      <w:r w:rsidRPr="002813D1">
        <w:rPr>
          <w:rFonts w:eastAsia="Times New Roman" w:cs="Times New Roman"/>
          <w:b/>
          <w:szCs w:val="22"/>
        </w:rPr>
        <w:t xml:space="preserve">Sec. </w:t>
      </w:r>
      <w:r w:rsidRPr="002813D1">
        <w:rPr>
          <w:rFonts w:eastAsia="Times New Roman" w:cs="Times New Roman"/>
          <w:b/>
          <w:szCs w:val="22"/>
        </w:rPr>
        <w:fldChar w:fldCharType="begin"/>
      </w:r>
      <w:r w:rsidRPr="002813D1">
        <w:rPr>
          <w:rFonts w:eastAsia="Times New Roman" w:cs="Times New Roman"/>
          <w:b/>
          <w:szCs w:val="22"/>
        </w:rPr>
        <w:instrText>LISTNUM  LegalDefault \l 1</w:instrText>
      </w:r>
      <w:r w:rsidRPr="002813D1">
        <w:rPr>
          <w:rFonts w:eastAsia="Times New Roman" w:cs="Times New Roman"/>
          <w:b/>
          <w:szCs w:val="22"/>
        </w:rPr>
        <w:fldChar w:fldCharType="end"/>
      </w:r>
      <w:r w:rsidRPr="002813D1">
        <w:rPr>
          <w:rFonts w:eastAsia="Times New Roman" w:cs="Times New Roman"/>
          <w:szCs w:val="22"/>
        </w:rPr>
        <w:t xml:space="preserve">  A new section is added to </w:t>
      </w:r>
      <w:r w:rsidR="00E52EAD">
        <w:rPr>
          <w:rFonts w:eastAsia="Times New Roman" w:cs="Times New Roman"/>
          <w:szCs w:val="22"/>
        </w:rPr>
        <w:t>35A.21 RCW</w:t>
      </w:r>
      <w:r w:rsidRPr="002813D1">
        <w:rPr>
          <w:rFonts w:eastAsia="Times New Roman" w:cs="Times New Roman"/>
          <w:szCs w:val="22"/>
        </w:rPr>
        <w:t xml:space="preserve"> to read as follows:</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The legislative authority of a code city or town may authorize a change to its electoral system, including the implementation of a district-based election system as defined in section 2(2) of this act, to remedy a potential violation of section 3 of this act. If the legislative authority of a code city or town invokes its authority under this section to implement a district-based election system, the districts shall be drawn in a manner consistent with section 5 of this act.</w:t>
      </w:r>
    </w:p>
    <w:p w:rsidRPr="002813D1" w:rsidR="002813D1" w:rsidP="002813D1" w:rsidRDefault="002813D1">
      <w:pPr>
        <w:spacing w:before="400" w:line="408" w:lineRule="exact"/>
        <w:ind w:firstLine="576"/>
        <w:rPr>
          <w:rFonts w:eastAsia="Times New Roman" w:cs="Times New Roman"/>
          <w:szCs w:val="22"/>
        </w:rPr>
      </w:pPr>
      <w:r w:rsidRPr="002813D1">
        <w:rPr>
          <w:rFonts w:eastAsia="Times New Roman" w:cs="Times New Roman"/>
          <w:b/>
          <w:szCs w:val="22"/>
        </w:rPr>
        <w:t xml:space="preserve">Sec. </w:t>
      </w:r>
      <w:r w:rsidRPr="002813D1">
        <w:rPr>
          <w:rFonts w:eastAsia="Times New Roman" w:cs="Times New Roman"/>
          <w:b/>
          <w:szCs w:val="22"/>
        </w:rPr>
        <w:fldChar w:fldCharType="begin"/>
      </w:r>
      <w:r w:rsidRPr="002813D1">
        <w:rPr>
          <w:rFonts w:eastAsia="Times New Roman" w:cs="Times New Roman"/>
          <w:b/>
          <w:szCs w:val="22"/>
        </w:rPr>
        <w:instrText>LISTNUM  LegalDefault \l 1</w:instrText>
      </w:r>
      <w:r w:rsidRPr="002813D1">
        <w:rPr>
          <w:rFonts w:eastAsia="Times New Roman" w:cs="Times New Roman"/>
          <w:b/>
          <w:szCs w:val="22"/>
        </w:rPr>
        <w:fldChar w:fldCharType="end"/>
      </w:r>
      <w:r w:rsidRPr="002813D1">
        <w:rPr>
          <w:rFonts w:eastAsia="Times New Roman" w:cs="Times New Roman"/>
          <w:szCs w:val="22"/>
        </w:rPr>
        <w:t xml:space="preserve">  RCW 29A.76.010 and 2011 c 349 s 26 are each amended to read as follows:</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(1) It is the responsibility of each county, municipal corporation, and special purpose district with a governing body comprised of internal director, council, or commissioner districts not based on statutorily required land ownership criteria to periodically redistrict its governmental unit, based on population information from the most recent federal decennial census.</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(2) Within forty-five days after receipt of federal decennial census information applicable to a specific local area, the commission established in RCW 44.05.030 shall forward the census information to each municipal corporation, county, and district charged with redistricting under this section.</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(3) No later than eight months after its receipt of federal decennial census data, the governing body of the municipal corporation, county, or district shall prepare a plan for redistricting its internal or director districts.</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(4) The plan shall be consistent with the following criteria:</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(a) Each internal director, council, or commissioner district shall be as nearly equal in population as possible to each and every other such district comprising the municipal corporation, county, or special purpose district.</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(b) Each district shall be as compact as possible.</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(c) Each district shall consist of geographically contiguous area.</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(d) Population data may not be used for purposes of favoring or disfavoring any racial group or political party</w:t>
      </w:r>
      <w:r w:rsidRPr="002813D1">
        <w:rPr>
          <w:rFonts w:eastAsia="Times New Roman" w:cs="Times New Roman"/>
          <w:szCs w:val="22"/>
          <w:u w:val="single"/>
        </w:rPr>
        <w:t>, except to the extent necessary to ensure compliance with this act</w:t>
      </w:r>
      <w:r w:rsidRPr="002813D1">
        <w:rPr>
          <w:rFonts w:eastAsia="Times New Roman" w:cs="Times New Roman"/>
          <w:szCs w:val="22"/>
        </w:rPr>
        <w:t>.</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(e) To the extent feasible and if not inconsistent with the basic enabling legislation for the municipal corporation, county, or district, the district boundaries shall coincide with existing recognized natural boundaries and shall, to the extent possible, preserve existing communities of related and mutual interest.</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(5) During the adoption of its plan, the municipal corporation, county, or district shall ensure that full and reasonable public notice of its actions is provided. The municipal corporation, county, or district shall hold at least one public hearing on the redistricting plan at least one week before adoption of the plan.</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(6)(a) Any registered voter residing in an area affected by the redistricting plan may request review of the adopted local plan by the superior court of the county in which he or she resides, within fifteen days of the plan's adoption. Any request for review must specify the reason or reasons alleged why the local plan is not consistent with the applicable redistricting criteria. The municipal corporation, county, or district may be joined as respondent. The superior court shall thereupon review the challenged plan for compliance with the applicable redistricting criteria set out in subsection (4) of this section.</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(b) If the superior court finds the plan to be consistent with the requirements of this section, the plan shall take effect immediately.</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(c) If the superior court determines the plan does not meet the requirements of this section, in whole or in part, it shall remand the plan for further or corrective action within a specified and reasonable time period.</w:t>
      </w:r>
    </w:p>
    <w:p w:rsidRPr="002813D1" w:rsidR="002813D1" w:rsidP="002813D1" w:rsidRDefault="002813D1">
      <w:pPr>
        <w:spacing w:line="408" w:lineRule="exact"/>
        <w:ind w:firstLine="576"/>
        <w:rPr>
          <w:rFonts w:eastAsia="Times New Roman" w:cs="Times New Roman"/>
          <w:szCs w:val="22"/>
        </w:rPr>
      </w:pPr>
      <w:r w:rsidRPr="002813D1">
        <w:rPr>
          <w:rFonts w:eastAsia="Times New Roman" w:cs="Times New Roman"/>
          <w:szCs w:val="22"/>
        </w:rPr>
        <w:t>(d) If the superior court finds that any request for review is frivolous or has been filed solely for purposes of harassment or delay, it may impose appropriate sanctions on the party requesting review, including payment of attorneys' fees and costs to the respondent municipal corporation, county, or district.</w:t>
      </w:r>
    </w:p>
    <w:p w:rsidRPr="002813D1" w:rsidR="002813D1" w:rsidP="002813D1" w:rsidRDefault="002813D1">
      <w:pPr>
        <w:spacing w:before="400" w:line="408" w:lineRule="exact"/>
        <w:ind w:firstLine="576"/>
        <w:rPr>
          <w:rFonts w:eastAsia="Times New Roman" w:cs="Times New Roman"/>
          <w:szCs w:val="22"/>
        </w:rPr>
      </w:pPr>
      <w:r w:rsidRPr="002813D1">
        <w:rPr>
          <w:rFonts w:eastAsia="Times New Roman" w:cs="Times New Roman"/>
          <w:szCs w:val="22"/>
          <w:u w:val="single"/>
        </w:rPr>
        <w:t>NEW SECTION.</w:t>
      </w:r>
      <w:r w:rsidRPr="002813D1">
        <w:rPr>
          <w:rFonts w:eastAsia="Times New Roman" w:cs="Times New Roman"/>
          <w:szCs w:val="22"/>
        </w:rPr>
        <w:t xml:space="preserve">  </w:t>
      </w:r>
      <w:r w:rsidRPr="002813D1">
        <w:rPr>
          <w:rFonts w:eastAsia="Times New Roman" w:cs="Times New Roman"/>
          <w:b/>
          <w:szCs w:val="22"/>
        </w:rPr>
        <w:t xml:space="preserve">Sec. </w:t>
      </w:r>
      <w:r w:rsidRPr="002813D1">
        <w:rPr>
          <w:rFonts w:eastAsia="Times New Roman" w:cs="Times New Roman"/>
          <w:b/>
          <w:szCs w:val="22"/>
        </w:rPr>
        <w:fldChar w:fldCharType="begin"/>
      </w:r>
      <w:r w:rsidRPr="002813D1">
        <w:rPr>
          <w:rFonts w:eastAsia="Times New Roman" w:cs="Times New Roman"/>
          <w:b/>
          <w:szCs w:val="22"/>
        </w:rPr>
        <w:instrText>LISTNUM  LegalDefault \l 1</w:instrText>
      </w:r>
      <w:r w:rsidRPr="002813D1">
        <w:rPr>
          <w:rFonts w:eastAsia="Times New Roman" w:cs="Times New Roman"/>
          <w:b/>
          <w:szCs w:val="22"/>
        </w:rPr>
        <w:fldChar w:fldCharType="end"/>
      </w:r>
      <w:r w:rsidRPr="002813D1">
        <w:rPr>
          <w:rFonts w:eastAsia="Times New Roman" w:cs="Times New Roman"/>
          <w:szCs w:val="22"/>
        </w:rPr>
        <w:t xml:space="preserve">  This act supersedes other state laws and local ordinances to the extent that those state laws or ordinances would otherwise restrict a jurisdiction's ability to implement a remedy pursuant to this act.</w:t>
      </w:r>
    </w:p>
    <w:p w:rsidRPr="002813D1" w:rsidR="002813D1" w:rsidP="002813D1" w:rsidRDefault="002813D1">
      <w:pPr>
        <w:spacing w:before="400" w:line="408" w:lineRule="exact"/>
        <w:ind w:firstLine="576"/>
        <w:rPr>
          <w:rFonts w:eastAsia="Times New Roman" w:cs="Times New Roman"/>
          <w:szCs w:val="22"/>
        </w:rPr>
      </w:pPr>
      <w:r w:rsidRPr="002813D1">
        <w:rPr>
          <w:rFonts w:eastAsia="Times New Roman" w:cs="Times New Roman"/>
          <w:szCs w:val="22"/>
          <w:u w:val="single"/>
        </w:rPr>
        <w:t>NEW SECTION.</w:t>
      </w:r>
      <w:r w:rsidRPr="002813D1">
        <w:rPr>
          <w:rFonts w:eastAsia="Times New Roman" w:cs="Times New Roman"/>
          <w:szCs w:val="22"/>
        </w:rPr>
        <w:t xml:space="preserve">  </w:t>
      </w:r>
      <w:r w:rsidRPr="002813D1">
        <w:rPr>
          <w:rFonts w:eastAsia="Times New Roman" w:cs="Times New Roman"/>
          <w:b/>
          <w:szCs w:val="22"/>
        </w:rPr>
        <w:t xml:space="preserve">Sec. </w:t>
      </w:r>
      <w:r w:rsidRPr="002813D1">
        <w:rPr>
          <w:rFonts w:eastAsia="Times New Roman" w:cs="Times New Roman"/>
          <w:b/>
          <w:szCs w:val="22"/>
        </w:rPr>
        <w:fldChar w:fldCharType="begin"/>
      </w:r>
      <w:r w:rsidRPr="002813D1">
        <w:rPr>
          <w:rFonts w:eastAsia="Times New Roman" w:cs="Times New Roman"/>
          <w:b/>
          <w:szCs w:val="22"/>
        </w:rPr>
        <w:instrText>LISTNUM  LegalDefault \l 1</w:instrText>
      </w:r>
      <w:r w:rsidRPr="002813D1">
        <w:rPr>
          <w:rFonts w:eastAsia="Times New Roman" w:cs="Times New Roman"/>
          <w:b/>
          <w:szCs w:val="22"/>
        </w:rPr>
        <w:fldChar w:fldCharType="end"/>
      </w:r>
      <w:r w:rsidRPr="002813D1">
        <w:rPr>
          <w:rFonts w:eastAsia="Times New Roman" w:cs="Times New Roman"/>
          <w:szCs w:val="22"/>
        </w:rPr>
        <w:t xml:space="preserve">  If any provision of this act or its application to any person or circumstance is held invalid, the remainder of the act or the application of the provision to other persons or circumstances is not affected.</w:t>
      </w:r>
    </w:p>
    <w:p w:rsidR="00E52EAD" w:rsidP="002813D1" w:rsidRDefault="002813D1">
      <w:pPr>
        <w:spacing w:before="400" w:line="408" w:lineRule="exact"/>
        <w:ind w:firstLine="576"/>
        <w:rPr>
          <w:rFonts w:eastAsia="Times New Roman" w:cs="Times New Roman"/>
          <w:szCs w:val="22"/>
        </w:rPr>
      </w:pPr>
      <w:r w:rsidRPr="002813D1">
        <w:rPr>
          <w:rFonts w:eastAsia="Times New Roman" w:cs="Times New Roman"/>
          <w:szCs w:val="22"/>
          <w:u w:val="single"/>
        </w:rPr>
        <w:t>NEW SECTION.</w:t>
      </w:r>
      <w:r w:rsidRPr="002813D1">
        <w:rPr>
          <w:rFonts w:eastAsia="Times New Roman" w:cs="Times New Roman"/>
          <w:szCs w:val="22"/>
        </w:rPr>
        <w:t xml:space="preserve">  </w:t>
      </w:r>
      <w:r w:rsidRPr="002813D1">
        <w:rPr>
          <w:rFonts w:eastAsia="Times New Roman" w:cs="Times New Roman"/>
          <w:b/>
          <w:szCs w:val="22"/>
        </w:rPr>
        <w:t xml:space="preserve">Sec. </w:t>
      </w:r>
      <w:r w:rsidRPr="002813D1">
        <w:rPr>
          <w:rFonts w:eastAsia="Times New Roman" w:cs="Times New Roman"/>
          <w:b/>
          <w:szCs w:val="22"/>
        </w:rPr>
        <w:fldChar w:fldCharType="begin"/>
      </w:r>
      <w:r w:rsidRPr="002813D1">
        <w:rPr>
          <w:rFonts w:eastAsia="Times New Roman" w:cs="Times New Roman"/>
          <w:b/>
          <w:szCs w:val="22"/>
        </w:rPr>
        <w:instrText>LISTNUM  LegalDefault \l 1</w:instrText>
      </w:r>
      <w:r w:rsidRPr="002813D1">
        <w:rPr>
          <w:rFonts w:eastAsia="Times New Roman" w:cs="Times New Roman"/>
          <w:b/>
          <w:szCs w:val="22"/>
        </w:rPr>
        <w:fldChar w:fldCharType="end"/>
      </w:r>
      <w:r w:rsidRPr="002813D1">
        <w:rPr>
          <w:rFonts w:eastAsia="Times New Roman" w:cs="Times New Roman"/>
          <w:szCs w:val="22"/>
        </w:rPr>
        <w:t xml:space="preserve">  Sections 1 through 11 this act constitute a new chapter in </w:t>
      </w:r>
      <w:r w:rsidR="007C40A3">
        <w:rPr>
          <w:rFonts w:eastAsia="Times New Roman" w:cs="Times New Roman"/>
          <w:szCs w:val="22"/>
        </w:rPr>
        <w:t>Title 29A RCW</w:t>
      </w:r>
      <w:r w:rsidRPr="002813D1">
        <w:rPr>
          <w:rFonts w:eastAsia="Times New Roman" w:cs="Times New Roman"/>
          <w:szCs w:val="22"/>
        </w:rPr>
        <w:t>.</w:t>
      </w:r>
    </w:p>
    <w:p w:rsidRPr="002813D1" w:rsidR="002813D1" w:rsidP="002813D1" w:rsidRDefault="00E52EAD">
      <w:pPr>
        <w:spacing w:before="400" w:line="408" w:lineRule="exact"/>
        <w:ind w:firstLine="576"/>
        <w:rPr>
          <w:rFonts w:eastAsia="Times New Roman" w:cs="Times New Roman"/>
          <w:szCs w:val="22"/>
        </w:rPr>
      </w:pPr>
      <w:r>
        <w:rPr>
          <w:rFonts w:eastAsia="Times New Roman" w:cs="Times New Roman"/>
          <w:szCs w:val="22"/>
        </w:rPr>
        <w:t>Correct the title.</w:t>
      </w:r>
      <w:r w:rsidR="007C40A3">
        <w:rPr>
          <w:rFonts w:eastAsia="Times New Roman" w:cs="Times New Roman"/>
          <w:szCs w:val="22"/>
        </w:rPr>
        <w:t>"</w:t>
      </w:r>
    </w:p>
    <w:p w:rsidRPr="002813D1" w:rsidR="002813D1" w:rsidP="002813D1" w:rsidRDefault="002813D1">
      <w:pPr>
        <w:pStyle w:val="RCWSLText"/>
      </w:pPr>
    </w:p>
    <w:p w:rsidRPr="00E0422B" w:rsidR="00DF5D0E" w:rsidP="00E0422B" w:rsidRDefault="00DF5D0E">
      <w:pPr>
        <w:suppressLineNumbers/>
        <w:rPr>
          <w:spacing w:val="-3"/>
        </w:rPr>
      </w:pPr>
    </w:p>
    <w:permEnd w:id="1996294944"/>
    <w:p w:rsidR="00ED2EEB" w:rsidP="00E0422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9168084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0422B" w:rsidRDefault="00D659AC">
                <w:pPr>
                  <w:pStyle w:val="Effect"/>
                  <w:suppressLineNumbers/>
                  <w:shd w:val="clear" w:color="auto" w:fill="auto"/>
                  <w:ind w:left="0" w:firstLine="0"/>
                </w:pPr>
              </w:p>
            </w:tc>
            <w:tc>
              <w:tcPr>
                <w:tcW w:w="9874" w:type="dxa"/>
                <w:shd w:val="clear" w:color="auto" w:fill="FFFFFF" w:themeFill="background1"/>
              </w:tcPr>
              <w:p w:rsidRPr="002813D1" w:rsidR="002813D1" w:rsidP="002813D1" w:rsidRDefault="0096303F">
                <w:pPr>
                  <w:pStyle w:val="Effect"/>
                  <w:suppressLineNumbers/>
                  <w:ind w:firstLine="0"/>
                </w:pPr>
                <w:r w:rsidRPr="0096303F">
                  <w:tab/>
                </w:r>
                <w:r w:rsidRPr="0096303F" w:rsidR="001C1B27">
                  <w:rPr>
                    <w:u w:val="single"/>
                  </w:rPr>
                  <w:t>EFFECT:</w:t>
                </w:r>
                <w:r w:rsidRPr="0096303F" w:rsidR="001C1B27">
                  <w:t>  </w:t>
                </w:r>
                <w:r w:rsidRPr="002813D1" w:rsidR="002813D1">
                  <w:t>(1) Removes fire, port, and public utility districts from the political subdivisions covered under the act;</w:t>
                </w:r>
              </w:p>
              <w:p w:rsidRPr="002813D1" w:rsidR="002813D1" w:rsidP="002813D1" w:rsidRDefault="002813D1">
                <w:pPr>
                  <w:pStyle w:val="Effect"/>
                  <w:suppressLineNumbers/>
                  <w:ind w:firstLine="0"/>
                </w:pPr>
                <w:r w:rsidRPr="002813D1">
                  <w:t>(2) Excludes cities and towns under 2,000 people as well as school districts with less than 500 students from the act;</w:t>
                </w:r>
              </w:p>
              <w:p w:rsidRPr="002813D1" w:rsidR="002813D1" w:rsidP="002813D1" w:rsidRDefault="002813D1">
                <w:pPr>
                  <w:pStyle w:val="Effect"/>
                  <w:suppressLineNumbers/>
                  <w:ind w:firstLine="0"/>
                </w:pPr>
                <w:r w:rsidRPr="002813D1">
                  <w:t>(3) Removes language that a protected class need not be compact or concentrated in order for a court to find a violation;</w:t>
                </w:r>
              </w:p>
              <w:p w:rsidRPr="002813D1" w:rsidR="002813D1" w:rsidP="002813D1" w:rsidRDefault="002813D1">
                <w:pPr>
                  <w:pStyle w:val="Effect"/>
                  <w:suppressLineNumbers/>
                  <w:ind w:firstLine="0"/>
                </w:pPr>
                <w:r w:rsidRPr="002813D1">
                  <w:t>(4) Requires a court to analyze elections where five or more candidates are members of a protected class, instead of one candidate;</w:t>
                </w:r>
              </w:p>
              <w:p w:rsidRPr="002813D1" w:rsidR="002813D1" w:rsidP="002813D1" w:rsidRDefault="002813D1">
                <w:pPr>
                  <w:pStyle w:val="Effect"/>
                  <w:suppressLineNumbers/>
                  <w:ind w:firstLine="0"/>
                </w:pPr>
                <w:r w:rsidRPr="002813D1">
                  <w:t>(5) Provides that subdivisions have an affirmative defense to a claim of polarized voting where the proportion of elected members of its governing body who are members of a protected class is equal to or greater than the proportion of protected class adults in the population of the subdivision;</w:t>
                </w:r>
              </w:p>
              <w:p w:rsidRPr="002813D1" w:rsidR="002813D1" w:rsidP="002813D1" w:rsidRDefault="002813D1">
                <w:pPr>
                  <w:pStyle w:val="Effect"/>
                  <w:suppressLineNumbers/>
                  <w:ind w:firstLine="0"/>
                </w:pPr>
                <w:r w:rsidRPr="002813D1">
                  <w:t>(6) Removes language permitting members of different protected classes to jointly file a claim under the act;</w:t>
                </w:r>
              </w:p>
              <w:p w:rsidRPr="002813D1" w:rsidR="002813D1" w:rsidP="002813D1" w:rsidRDefault="002813D1">
                <w:pPr>
                  <w:pStyle w:val="Effect"/>
                  <w:suppressLineNumbers/>
                  <w:ind w:firstLine="0"/>
                </w:pPr>
                <w:r w:rsidRPr="002813D1">
                  <w:t>(7) Prohibits an action to be filed within four years of a lawsuit filed against a subdivision under the federal Voting Rights Act of 1965;</w:t>
                </w:r>
              </w:p>
              <w:p w:rsidRPr="002813D1" w:rsidR="002813D1" w:rsidP="002813D1" w:rsidRDefault="002813D1">
                <w:pPr>
                  <w:pStyle w:val="Effect"/>
                  <w:suppressLineNumbers/>
                  <w:ind w:firstLine="0"/>
                </w:pPr>
                <w:r w:rsidRPr="002813D1">
                  <w:t>(8) Removes the requirement that elected positions with two years remaining in their terms are subject to a new election ordered under the act;</w:t>
                </w:r>
              </w:p>
              <w:p w:rsidRPr="002813D1" w:rsidR="002813D1" w:rsidP="002813D1" w:rsidRDefault="002813D1">
                <w:pPr>
                  <w:pStyle w:val="Effect"/>
                  <w:suppressLineNumbers/>
                  <w:ind w:firstLine="0"/>
                </w:pPr>
                <w:r w:rsidRPr="002813D1">
                  <w:t>(9) Removes language instructing how courts should tailor remedies providing for new districts;</w:t>
                </w:r>
              </w:p>
              <w:p w:rsidRPr="002813D1" w:rsidR="002813D1" w:rsidP="002813D1" w:rsidRDefault="002813D1">
                <w:pPr>
                  <w:pStyle w:val="Effect"/>
                  <w:suppressLineNumbers/>
                  <w:ind w:firstLine="0"/>
                </w:pPr>
                <w:r w:rsidRPr="002813D1">
                  <w:t>(10) Permits courts to waive or reduce attorney's fees if such fees would create a hardship for a subdivision or impact its ability to provide services for low-income protected class members;</w:t>
                </w:r>
                <w:r>
                  <w:t xml:space="preserve"> and</w:t>
                </w:r>
              </w:p>
              <w:p w:rsidRPr="002813D1" w:rsidR="002813D1" w:rsidP="002813D1" w:rsidRDefault="002813D1">
                <w:pPr>
                  <w:pStyle w:val="Effect"/>
                  <w:suppressLineNumbers/>
                  <w:ind w:firstLine="0"/>
                </w:pPr>
                <w:r w:rsidRPr="002813D1">
                  <w:t xml:space="preserve">(11) Allows subdivisions to adopt a remedy, not limited to the proposed remedy included in the notice, in order to be covered under the </w:t>
                </w:r>
                <w:r>
                  <w:t>four-year safe harbor provision.</w:t>
                </w:r>
              </w:p>
              <w:p w:rsidRPr="0096303F" w:rsidR="001C1B27" w:rsidP="00E0422B" w:rsidRDefault="001C1B27">
                <w:pPr>
                  <w:pStyle w:val="Effect"/>
                  <w:suppressLineNumbers/>
                  <w:shd w:val="clear" w:color="auto" w:fill="auto"/>
                  <w:ind w:left="0" w:firstLine="0"/>
                </w:pPr>
                <w:r w:rsidRPr="0096303F">
                  <w:t> </w:t>
                </w:r>
              </w:p>
              <w:p w:rsidRPr="007D1589" w:rsidR="001B4E53" w:rsidP="00E0422B" w:rsidRDefault="001B4E53">
                <w:pPr>
                  <w:pStyle w:val="ListBullet"/>
                  <w:numPr>
                    <w:ilvl w:val="0"/>
                    <w:numId w:val="0"/>
                  </w:numPr>
                  <w:suppressLineNumbers/>
                </w:pPr>
              </w:p>
            </w:tc>
          </w:tr>
        </w:sdtContent>
      </w:sdt>
      <w:permEnd w:id="791680849"/>
    </w:tbl>
    <w:p w:rsidR="00DF5D0E" w:rsidP="00E0422B" w:rsidRDefault="00DF5D0E">
      <w:pPr>
        <w:pStyle w:val="BillEnd"/>
        <w:suppressLineNumbers/>
      </w:pPr>
    </w:p>
    <w:p w:rsidR="00DF5D0E" w:rsidP="00E0422B" w:rsidRDefault="00DE256E">
      <w:pPr>
        <w:pStyle w:val="BillEnd"/>
        <w:suppressLineNumbers/>
      </w:pPr>
      <w:r>
        <w:rPr>
          <w:b/>
        </w:rPr>
        <w:t>--- END ---</w:t>
      </w:r>
    </w:p>
    <w:p w:rsidR="00DF5D0E" w:rsidP="00E0422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22B" w:rsidRDefault="00E0422B" w:rsidP="00DF5D0E">
      <w:r>
        <w:separator/>
      </w:r>
    </w:p>
  </w:endnote>
  <w:endnote w:type="continuationSeparator" w:id="0">
    <w:p w:rsidR="00E0422B" w:rsidRDefault="00E0422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3D1" w:rsidRDefault="002813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2A433F">
    <w:pPr>
      <w:pStyle w:val="AmendDraftFooter"/>
    </w:pPr>
    <w:fldSimple w:instr=" TITLE   \* MERGEFORMAT ">
      <w:r w:rsidR="002328E4">
        <w:t>1745-S AMH MANW FLYN 161</w:t>
      </w:r>
    </w:fldSimple>
    <w:r w:rsidR="001B4E53">
      <w:tab/>
    </w:r>
    <w:r w:rsidR="00E267B1">
      <w:fldChar w:fldCharType="begin"/>
    </w:r>
    <w:r w:rsidR="00E267B1">
      <w:instrText xml:space="preserve"> PAGE  \* Arabic  \* MERGEFORMAT </w:instrText>
    </w:r>
    <w:r w:rsidR="00E267B1">
      <w:fldChar w:fldCharType="separate"/>
    </w:r>
    <w:r w:rsidR="002328E4">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2A433F">
    <w:pPr>
      <w:pStyle w:val="AmendDraftFooter"/>
    </w:pPr>
    <w:fldSimple w:instr=" TITLE   \* MERGEFORMAT ">
      <w:r w:rsidR="002328E4">
        <w:t>1745-S AMH MANW FLYN 161</w:t>
      </w:r>
    </w:fldSimple>
    <w:r w:rsidR="001B4E53">
      <w:tab/>
    </w:r>
    <w:r w:rsidR="00E267B1">
      <w:fldChar w:fldCharType="begin"/>
    </w:r>
    <w:r w:rsidR="00E267B1">
      <w:instrText xml:space="preserve"> PAGE  \* Arabic  \* MERGEFORMAT </w:instrText>
    </w:r>
    <w:r w:rsidR="00E267B1">
      <w:fldChar w:fldCharType="separate"/>
    </w:r>
    <w:r w:rsidR="002328E4">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22B" w:rsidRDefault="00E0422B" w:rsidP="00DF5D0E">
      <w:r>
        <w:separator/>
      </w:r>
    </w:p>
  </w:footnote>
  <w:footnote w:type="continuationSeparator" w:id="0">
    <w:p w:rsidR="00E0422B" w:rsidRDefault="00E0422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3D1" w:rsidRDefault="002813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7EC8"/>
    <w:rsid w:val="00050639"/>
    <w:rsid w:val="00060D21"/>
    <w:rsid w:val="00096165"/>
    <w:rsid w:val="000C6C82"/>
    <w:rsid w:val="000E603A"/>
    <w:rsid w:val="00102468"/>
    <w:rsid w:val="00106544"/>
    <w:rsid w:val="00146AAF"/>
    <w:rsid w:val="001A775A"/>
    <w:rsid w:val="001B4E53"/>
    <w:rsid w:val="001C1B27"/>
    <w:rsid w:val="001E6675"/>
    <w:rsid w:val="00217E8A"/>
    <w:rsid w:val="002328E4"/>
    <w:rsid w:val="00265296"/>
    <w:rsid w:val="002813D1"/>
    <w:rsid w:val="00281CBD"/>
    <w:rsid w:val="002A433F"/>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C40A3"/>
    <w:rsid w:val="007D1589"/>
    <w:rsid w:val="007D35D4"/>
    <w:rsid w:val="0083749C"/>
    <w:rsid w:val="008443FE"/>
    <w:rsid w:val="00846034"/>
    <w:rsid w:val="00883C58"/>
    <w:rsid w:val="008C7E6E"/>
    <w:rsid w:val="008E5901"/>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0422B"/>
    <w:rsid w:val="00E1471A"/>
    <w:rsid w:val="00E267B1"/>
    <w:rsid w:val="00E41CC6"/>
    <w:rsid w:val="00E52EAD"/>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42924"/>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1745-S</BillDocName>
  <AmendType>AMH</AmendType>
  <SponsorAcronym>MANW</SponsorAcronym>
  <DrafterAcronym>FLYN</DrafterAcronym>
  <DraftNumber>161</DraftNumber>
  <ReferenceNumber>SHB 1745</ReferenceNumber>
  <Floor>H AMD TO H AMD (H-2238.1/15)</Floor>
  <AmendmentNumber> 166</AmendmentNumber>
  <Sponsors>By Representative Manweller</Sponsors>
  <FloorAction>NOT ADOPTED 03/05/2015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31</TotalTime>
  <Pages>3</Pages>
  <Words>4024</Words>
  <Characters>20524</Characters>
  <Application>Microsoft Office Word</Application>
  <DocSecurity>8</DocSecurity>
  <Lines>446</Lines>
  <Paragraphs>119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1745-S AMH MANW FLYN 161</dc:title>
  <dc:creator>Sean Flynn</dc:creator>
  <cp:lastModifiedBy>Flynn, Sean</cp:lastModifiedBy>
  <cp:revision>9</cp:revision>
  <cp:lastPrinted>2015-03-05T04:54:00Z</cp:lastPrinted>
  <dcterms:created xsi:type="dcterms:W3CDTF">2015-03-05T04:18:00Z</dcterms:created>
  <dcterms:modified xsi:type="dcterms:W3CDTF">2015-03-05T04:54:00Z</dcterms:modified>
</cp:coreProperties>
</file>