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980daeb5443be" /></Relationships>
</file>

<file path=word/document.xml><?xml version="1.0" encoding="utf-8"?>
<w:document xmlns:w="http://schemas.openxmlformats.org/wordprocessingml/2006/main">
  <w:body>
    <w:p>
      <w:r>
        <w:rPr>
          <w:b/>
        </w:rPr>
        <w:r>
          <w:rPr/>
          <w:t xml:space="preserve">1980-S</w:t>
        </w:r>
      </w:r>
      <w:r>
        <w:rPr>
          <w:b/>
        </w:rPr>
        <w:t xml:space="preserve"> </w:t>
        <w:t xml:space="preserve">AMH</w:t>
      </w:r>
      <w:r>
        <w:rPr>
          <w:b/>
        </w:rPr>
        <w:t xml:space="preserve"> </w:t>
        <w:r>
          <w:rPr/>
          <w:t xml:space="preserve">HUNS</w:t>
        </w:r>
      </w:r>
      <w:r>
        <w:rPr>
          <w:b/>
        </w:rPr>
        <w:t xml:space="preserve"> </w:t>
        <w:r>
          <w:rPr/>
          <w:t xml:space="preserve">H2300.1</w:t>
        </w:r>
      </w:r>
      <w:r>
        <w:rPr>
          <w:b/>
        </w:rPr>
        <w:t xml:space="preserve"> - NOT FOR FLOOR USE</w:t>
      </w:r>
    </w:p>
    <w:p>
      <w:pPr>
        <w:spacing w:before="480" w:after="0" w:line="408" w:lineRule="exact"/>
      </w:pPr>
      <w:r>
        <w:rPr>
          <w:b/>
          <w:u w:val="single"/>
        </w:rPr>
        <w:t xml:space="preserve">SHB 1980</w:t>
      </w:r>
      <w:r>
        <w:t xml:space="preserve"> -</w:t>
      </w:r>
      <w:r>
        <w:t xml:space="preserve"> </w:t>
        <w:t xml:space="preserve">H AMD</w:t>
      </w:r>
      <w:r>
        <w:t xml:space="preserve"> </w:t>
      </w:r>
      <w:r>
        <w:rPr>
          <w:b/>
        </w:rPr>
        <w:t xml:space="preserve">241</w:t>
      </w:r>
    </w:p>
    <w:p>
      <w:pPr>
        <w:spacing w:before="0" w:after="0" w:line="408" w:lineRule="exact"/>
        <w:ind w:left="0" w:right="0" w:firstLine="576"/>
        <w:jc w:val="left"/>
      </w:pPr>
      <w:r>
        <w:rPr/>
        <w:t xml:space="preserve">By Representative Hunt, S.</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5 and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w:t>
      </w:r>
      <w:r>
        <w:t>((</w:t>
      </w:r>
      <w:r>
        <w:rPr>
          <w:strike/>
        </w:rPr>
        <w:t xml:space="preserve">means</w:t>
      </w:r>
      <w:r>
        <w:t>))</w:t>
      </w:r>
      <w:r>
        <w:rPr/>
        <w:t xml:space="preserve"> </w:t>
      </w:r>
      <w:r>
        <w:rPr>
          <w:u w:val="single"/>
        </w:rPr>
        <w:t xml:space="preserve">includes, but is not limited to,</w:t>
      </w:r>
      <w:r>
        <w:rPr/>
        <w:t xml:space="preserve">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confidential and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personal information in a 911 database that is exempted from disclosure does not also exempt any information that is used as part of a 911 response;</w:t>
      </w:r>
    </w:p>
    <w:p>
      <w:pPr>
        <w:spacing w:before="0" w:after="0" w:line="408" w:lineRule="exact"/>
        <w:ind w:left="0" w:right="0" w:firstLine="576"/>
        <w:jc w:val="left"/>
      </w:pPr>
      <w:r>
        <w:rPr/>
        <w:t xml:space="preserve">(2) Clarifies that only voluntarily submitted information in 911 emergency communications systems is exempt from public disclosure;</w:t>
      </w:r>
    </w:p>
    <w:p>
      <w:pPr>
        <w:spacing w:before="0" w:after="0" w:line="408" w:lineRule="exact"/>
        <w:ind w:left="0" w:right="0" w:firstLine="576"/>
        <w:jc w:val="left"/>
      </w:pPr>
      <w:r>
        <w:rPr/>
        <w:t xml:space="preserve">(3) Removes intent language preceding the sections on the nondisclosure of 911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eaf70e7b94235" /></Relationships>
</file>