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035c2a3034882" /></Relationships>
</file>

<file path=word/document.xml><?xml version="1.0" encoding="utf-8"?>
<w:document xmlns:w="http://schemas.openxmlformats.org/wordprocessingml/2006/main">
  <w:body>
    <w:p>
      <w:r>
        <w:rPr>
          <w:b/>
        </w:rPr>
        <w:r>
          <w:rPr/>
          <w:t xml:space="preserve">2033</w:t>
        </w:r>
      </w:r>
      <w:r>
        <w:rPr>
          <w:b/>
        </w:rPr>
        <w:t xml:space="preserve"> </w:t>
        <w:t xml:space="preserve">AMH</w:t>
      </w:r>
      <w:r>
        <w:rPr>
          <w:b/>
        </w:rPr>
        <w:t xml:space="preserve"> </w:t>
        <w:r>
          <w:rPr/>
          <w:t xml:space="preserve">GOOD</w:t>
        </w:r>
      </w:r>
      <w:r>
        <w:rPr>
          <w:b/>
        </w:rPr>
        <w:t xml:space="preserve"> </w:t>
        <w:r>
          <w:rPr/>
          <w:t xml:space="preserve">H3571.1</w:t>
        </w:r>
      </w:r>
      <w:r>
        <w:rPr>
          <w:b/>
        </w:rPr>
        <w:t xml:space="preserve"> - NOT FOR FLOOR USE</w:t>
      </w:r>
    </w:p>
    <w:p>
      <w:pPr>
        <w:ind w:left="0" w:right="0" w:firstLine="576"/>
      </w:pPr>
    </w:p>
    <w:p>
      <w:pPr>
        <w:spacing w:before="480" w:after="0" w:line="408" w:lineRule="exact"/>
      </w:pPr>
      <w:r>
        <w:rPr>
          <w:b/>
          <w:u w:val="single"/>
        </w:rPr>
        <w:t xml:space="preserve">HB 2033</w:t>
      </w:r>
      <w:r>
        <w:t xml:space="preserve"> -</w:t>
      </w:r>
      <w:r>
        <w:t xml:space="preserve"> </w:t>
        <w:t xml:space="preserve">H AMD</w:t>
      </w:r>
      <w:r>
        <w:t xml:space="preserve"> </w:t>
      </w:r>
      <w:r>
        <w:rPr>
          <w:b/>
        </w:rPr>
        <w:t xml:space="preserve">737</w:t>
      </w:r>
    </w:p>
    <w:p>
      <w:pPr>
        <w:spacing w:before="0" w:after="0" w:line="408" w:lineRule="exact"/>
        <w:ind w:left="0" w:right="0" w:firstLine="576"/>
        <w:jc w:val="left"/>
      </w:pPr>
      <w:r>
        <w:rPr/>
        <w:t xml:space="preserve">By Representative Goodman</w:t>
      </w:r>
    </w:p>
    <w:p>
      <w:pPr>
        <w:jc w:val="right"/>
      </w:pPr>
      <w:r>
        <w:rPr>
          <w:b/>
        </w:rPr>
        <w:t xml:space="preserve">ADOPTED 02/15/2016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w:t>
      </w:r>
    </w:p>
    <w:p>
      <w:pPr>
        <w:spacing w:before="0" w:after="0" w:line="408" w:lineRule="exact"/>
        <w:ind w:left="0" w:right="0" w:firstLine="576"/>
        <w:jc w:val="left"/>
      </w:pPr>
      <w:r>
        <w:rPr/>
        <w:t xml:space="preserve">(1) Requires a respondent, in order to contest the renewal of a sexual assault protection order, to prove that there has been a material change in circumstances such that the respondent is not likely to contact or attempt to contact the petitioner (the underlying bill requires the respondent to prove that the respondent will not contact or attempt to contact the petitioner);</w:t>
      </w:r>
    </w:p>
    <w:p>
      <w:pPr>
        <w:spacing w:before="0" w:after="0" w:line="408" w:lineRule="exact"/>
        <w:ind w:left="0" w:right="0" w:firstLine="576"/>
        <w:jc w:val="left"/>
      </w:pPr>
      <w:r>
        <w:rPr/>
        <w:t xml:space="preserve">(2) States that the court's determination of whether or not there has been a material change in circumstances must be based only on a consideration of factors that address whether the respondent is likely to contact or attempt to contact the petitioner; and</w:t>
      </w:r>
    </w:p>
    <w:p>
      <w:pPr>
        <w:spacing w:before="0" w:after="0" w:line="408" w:lineRule="exact"/>
        <w:ind w:left="0" w:right="0" w:firstLine="576"/>
        <w:jc w:val="left"/>
      </w:pPr>
      <w:r>
        <w:rPr/>
        <w:t xml:space="preserve">(3) Provides the court with a list of factors to consider in determining whether there has been a material change in circumstances.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0899d4a134430" /></Relationships>
</file>