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1cab5ba8de40a3" /></Relationships>
</file>

<file path=word/document.xml><?xml version="1.0" encoding="utf-8"?>
<w:document xmlns:w="http://schemas.openxmlformats.org/wordprocessingml/2006/main">
  <w:body>
    <w:p>
      <w:r>
        <w:rPr>
          <w:b/>
        </w:rPr>
        <w:r>
          <w:rPr/>
          <w:t xml:space="preserve">2086.E</w:t>
        </w:r>
      </w:r>
      <w:r>
        <w:rPr>
          <w:b/>
        </w:rPr>
        <w:t xml:space="preserve"> </w:t>
        <w:t xml:space="preserve">AMH</w:t>
      </w:r>
      <w:r>
        <w:rPr>
          <w:b/>
        </w:rPr>
        <w:t xml:space="preserve"> </w:t>
        <w:r>
          <w:rPr/>
          <w:t xml:space="preserve">MCBR</w:t>
        </w:r>
      </w:r>
      <w:r>
        <w:rPr>
          <w:b/>
        </w:rPr>
        <w:t xml:space="preserve"> </w:t>
        <w:r>
          <w:rPr/>
          <w:t xml:space="preserve">H4392.1</w:t>
        </w:r>
      </w:r>
      <w:r>
        <w:rPr>
          <w:b/>
        </w:rPr>
        <w:t xml:space="preserve"> - NOT FOR FLOOR USE</w:t>
      </w:r>
    </w:p>
    <w:p>
      <w:pPr>
        <w:ind w:left="0" w:right="0" w:firstLine="576"/>
      </w:pPr>
    </w:p>
    <w:p>
      <w:pPr>
        <w:spacing w:before="480" w:after="0" w:line="408" w:lineRule="exact"/>
      </w:pPr>
      <w:r>
        <w:rPr>
          <w:b/>
          <w:u w:val="single"/>
        </w:rPr>
        <w:t xml:space="preserve">EHB 2086</w:t>
      </w:r>
      <w:r>
        <w:t xml:space="preserve"> -</w:t>
      </w:r>
      <w:r>
        <w:t xml:space="preserve"> </w:t>
        <w:t xml:space="preserve">H AMD</w:t>
      </w:r>
      <w:r>
        <w:t xml:space="preserve"> </w:t>
      </w:r>
      <w:r>
        <w:rPr>
          <w:b/>
        </w:rPr>
        <w:t xml:space="preserve">641</w:t>
      </w:r>
    </w:p>
    <w:p>
      <w:pPr>
        <w:spacing w:before="0" w:after="0" w:line="408" w:lineRule="exact"/>
        <w:ind w:left="0" w:right="0" w:firstLine="576"/>
        <w:jc w:val="left"/>
      </w:pPr>
      <w:r>
        <w:rPr/>
        <w:t xml:space="preserve">By Representative McBride</w:t>
      </w:r>
    </w:p>
    <w:p>
      <w:pPr>
        <w:jc w:val="right"/>
      </w:pPr>
      <w:r>
        <w:rPr>
          <w:b/>
        </w:rPr>
        <w:t xml:space="preserve">ADOPTED 02/11/2016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encampments hosted by religious organizations are a particularly vulnerable population that do not have access to the same services as citizens with more stable housing. Residents in these encampments can be at increased risk of exploitation, theft, unsanitary living conditions, and physical harm. Therefore, it is the intent of the legislature that local municipalities have the authority and discretion to protect the health and safety of residents in temporary encampments hosted by religious organizations.</w:t>
      </w:r>
      <w:r>
        <w:rPr/>
        <w:t xml:space="preserve"> Furthermore, the legislature finds and declares that tent encampments serve as a pathway for individuals experiencing homelessness to achieve financial stability, health, and permanent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county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county sheriff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county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county.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county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county.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city or town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city or town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city or town.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city or town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city or town.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code city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code city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code city.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code city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code city.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hosting religious organization and the managing agency of a homeless encampment to enter into a written agreement to protect the health and safety of the encampment residents as well as the county residents.</w:t>
      </w:r>
    </w:p>
    <w:p>
      <w:pPr>
        <w:spacing w:before="0" w:after="0" w:line="408" w:lineRule="exact"/>
        <w:ind w:left="0" w:right="0" w:firstLine="576"/>
        <w:jc w:val="left"/>
      </w:pPr>
      <w:r>
        <w:rPr/>
        <w:t xml:space="preserve">(2) Provides that such written agreement must include: The encampment residents' ability to access public assistance and to interact with management as well as the hosting religious organization, and a code of conduct approved by the county or city.</w:t>
      </w:r>
    </w:p>
    <w:p>
      <w:pPr>
        <w:spacing w:before="0" w:after="0" w:line="408" w:lineRule="exact"/>
        <w:ind w:left="0" w:right="0" w:firstLine="576"/>
        <w:jc w:val="left"/>
      </w:pPr>
      <w:r>
        <w:rPr/>
        <w:t xml:space="preserve">(3) Encourages use of the state Homeless Client Management Information System.</w:t>
      </w:r>
    </w:p>
    <w:p>
      <w:pPr>
        <w:spacing w:before="0" w:after="0" w:line="408" w:lineRule="exact"/>
        <w:ind w:left="0" w:right="0" w:firstLine="576"/>
        <w:jc w:val="left"/>
      </w:pPr>
      <w:r>
        <w:rPr/>
        <w:t xml:space="preserve">(4) Adds definitions for "safe parking" and for "managing agency."</w:t>
      </w:r>
    </w:p>
    <w:p>
      <w:pPr>
        <w:spacing w:before="0" w:after="0" w:line="408" w:lineRule="exact"/>
        <w:ind w:left="0" w:right="0" w:firstLine="576"/>
        <w:jc w:val="left"/>
      </w:pPr>
      <w:r>
        <w:rPr/>
        <w:t xml:space="preserve">(5) Adds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ceefe5140425e" /></Relationships>
</file>