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caf9cb2f9d4312" /></Relationships>
</file>

<file path=word/document.xml><?xml version="1.0" encoding="utf-8"?>
<w:document xmlns:w="http://schemas.openxmlformats.org/wordprocessingml/2006/main">
  <w:body>
    <w:p>
      <w:r>
        <w:rPr>
          <w:b/>
        </w:rPr>
        <w:r>
          <w:rPr/>
          <w:t xml:space="preserve">2122</w:t>
        </w:r>
      </w:r>
      <w:r>
        <w:rPr>
          <w:b/>
        </w:rPr>
        <w:t xml:space="preserve"> </w:t>
        <w:t xml:space="preserve">AMH</w:t>
      </w:r>
      <w:r>
        <w:rPr>
          <w:b/>
        </w:rPr>
        <w:t xml:space="preserve"> </w:t>
        <w:r>
          <w:rPr/>
          <w:t xml:space="preserve">MCBR</w:t>
        </w:r>
      </w:r>
      <w:r>
        <w:rPr>
          <w:b/>
        </w:rPr>
        <w:t xml:space="preserve"> </w:t>
        <w:r>
          <w:rPr/>
          <w:t xml:space="preserve">H2805.4</w:t>
        </w:r>
      </w:r>
      <w:r>
        <w:rPr>
          <w:b/>
        </w:rPr>
        <w:t xml:space="preserve"> - NOT FOR FLOOR USE</w:t>
      </w:r>
    </w:p>
    <w:p>
      <w:pPr>
        <w:ind w:left="0" w:right="0" w:firstLine="576"/>
      </w:pPr>
    </w:p>
    <w:p>
      <w:pPr>
        <w:spacing w:before="480" w:after="0" w:line="408" w:lineRule="exact"/>
      </w:pPr>
      <w:r>
        <w:rPr>
          <w:b/>
          <w:u w:val="single"/>
        </w:rPr>
        <w:t xml:space="preserve">HB 2122</w:t>
      </w:r>
      <w:r>
        <w:t xml:space="preserve"> -</w:t>
      </w:r>
      <w:r>
        <w:t xml:space="preserve"> </w:t>
        <w:t xml:space="preserve">H AMD</w:t>
      </w:r>
      <w:r>
        <w:t xml:space="preserve"> </w:t>
      </w:r>
      <w:r>
        <w:rPr>
          <w:b/>
        </w:rPr>
        <w:t xml:space="preserve">506</w:t>
      </w:r>
    </w:p>
    <w:p>
      <w:pPr>
        <w:spacing w:before="0" w:after="0" w:line="408" w:lineRule="exact"/>
        <w:ind w:left="0" w:right="0" w:firstLine="576"/>
        <w:jc w:val="left"/>
      </w:pPr>
      <w:r>
        <w:rPr/>
        <w:t xml:space="preserve">By Representative McBride</w:t>
      </w:r>
    </w:p>
    <w:p>
      <w:pPr>
        <w:jc w:val="right"/>
      </w:pPr>
      <w:r>
        <w:rPr>
          <w:b/>
        </w:rPr>
        <w:t xml:space="preserve">ADOPTED 6/11/2015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from this tax must be used by any city or county with a population of five thousand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After April 30, 1992, revenues generated from the tax imposed under this subsection (2) in counties over five thousand population and cities over five thousand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w:t>
      </w:r>
      <w:r>
        <w:t>((</w:t>
      </w:r>
      <w:r>
        <w:rPr>
          <w:strike/>
        </w:rPr>
        <w:t xml:space="preserve">As used in this section,</w:t>
      </w:r>
      <w:r>
        <w:t>))</w:t>
      </w:r>
      <w:r>
        <w:rPr/>
        <w:t xml:space="preserve"> </w:t>
      </w:r>
      <w:r>
        <w:rPr>
          <w:u w:val="single"/>
        </w:rPr>
        <w:t xml:space="preserve">The definitions in this subsection (6)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t xml:space="preserve"> </w:t>
      </w:r>
      <w:r>
        <w:rPr>
          <w:u w:val="single"/>
        </w:rPr>
        <w:t xml:space="preserve">facilities;</w:t>
      </w:r>
      <w:r>
        <w:rPr/>
        <w:t xml:space="preserve"> judicial facilities; river </w:t>
      </w:r>
      <w:r>
        <w:t>((</w:t>
      </w:r>
      <w:r>
        <w:rPr>
          <w:strike/>
        </w:rPr>
        <w:t xml:space="preserve">and/or</w:t>
      </w:r>
      <w:r>
        <w:t>))</w:t>
      </w:r>
      <w:r>
        <w:rPr/>
        <w:t xml:space="preserve"> </w:t>
      </w:r>
      <w:r>
        <w:rPr>
          <w:u w:val="single"/>
        </w:rPr>
        <w:t xml:space="preserve">flood control projects;</w:t>
      </w:r>
      <w:r>
        <w:rPr/>
        <w:t xml:space="preserve"> waterway flood control projects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one hundred thousand dollars or thirty-five percent of available funds under this section, but not to exceed one million dollars per year, for the operations and maintenance of existing capital projects as defined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 The city or county has not enacted, after the effective date of this section, any requirement on the listing, leasing, or sale of real property, unless the requirement is either specifically authorized by state or federal law or is a seller or landlord disclosure requirement pursuant to section 4 of this act.</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 the ordinance, resolution, or policy is posted electronically in accordance with RCW 43.110.030(2)(e).</w:t>
      </w:r>
    </w:p>
    <w:p>
      <w:pPr>
        <w:spacing w:before="0" w:after="0" w:line="408" w:lineRule="exact"/>
        <w:ind w:left="0" w:right="0" w:firstLine="576"/>
        <w:jc w:val="left"/>
      </w:pPr>
      <w:r>
        <w:rPr/>
        <w:t xml:space="preserve">(2) If, prior to the effective date of this section, a city or county adopted an ordinance, resolution, or policy that imposes a requirement on landlords or sellers of real property, or their agents, to provide information to a buyer or tenant pertaining to the subject property or the surrounding area, the city or county must cause the ordinance, resolution, or policy to be posted electronically in accordance with RCW 43.110.030(2)(e) within ninety days of the effective date of this section, or the requirement shall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2012 2nd sp.s. c 5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 </w:t>
      </w:r>
      <w:r>
        <w:t>((</w:t>
      </w:r>
      <w:r>
        <w:rPr>
          <w:strike/>
        </w:rPr>
        <w:t xml:space="preserve">and</w:t>
      </w:r>
      <w:r>
        <w: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w:t>
      </w:r>
      <w:r>
        <w:rPr>
          <w:u w:val="single"/>
        </w:rPr>
        <w:t xml:space="preserve">; and</w:t>
      </w:r>
    </w:p>
    <w:p>
      <w:pPr>
        <w:spacing w:before="0" w:after="0" w:line="408" w:lineRule="exact"/>
        <w:ind w:left="0" w:right="0" w:firstLine="576"/>
        <w:jc w:val="left"/>
      </w:pPr>
      <w:r>
        <w:rPr>
          <w:u w:val="single"/>
        </w:rPr>
        <w:t xml:space="preserve">(e) Providing a list of all requirements imposed by all cities, towns, and counties on landlords or sellers of real property to provide information to a buyer or tenant pertaining to the subject property or the surrounding area. The list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section 4 of this act</w:t>
      </w:r>
      <w:r>
        <w:rPr/>
        <w:t xml:space="preserve">.</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criteria that cities and counties must meet in order to use a portion (i.e., the greater of $100,000 or 25 percent of available funds, not to exceed $1,000,000 per year) of revenue collected from real estate excise taxes (REET I) for the maintenance of "capital projects," as that term is defined in the statute authorizing REET I. Rather than requiring cities and counties to have adequate funds for capital projects during a six-year period, as proposed in the underlying bill, cities and counties are required: (a) To prepare a report demonstrating adequate funding for all capital projects for the succeeding two-year period; and (b) to refrain from enacting any requirement on the listing, leasing, or sale of real property, unless the requirement is authorized by state or federal law.</w:t>
      </w:r>
    </w:p>
    <w:p>
      <w:pPr>
        <w:spacing w:before="0" w:after="0" w:line="408" w:lineRule="exact"/>
        <w:ind w:left="0" w:right="0" w:firstLine="576"/>
        <w:jc w:val="left"/>
      </w:pPr>
      <w:r>
        <w:rPr/>
        <w:t xml:space="preserve">(2) Creates definitions of "maintenance" as the term is used under sections authorizing cities and counties to use portions of revenue collected from REET I and additional real estate excise taxes (REET II) for specified purposes.</w:t>
      </w:r>
    </w:p>
    <w:p>
      <w:pPr>
        <w:spacing w:before="0" w:after="0" w:line="408" w:lineRule="exact"/>
        <w:ind w:left="0" w:right="0" w:firstLine="576"/>
        <w:jc w:val="left"/>
      </w:pPr>
      <w:r>
        <w:rPr/>
        <w:t xml:space="preserve">(3) Modifies provisions authorizing cities and counties to use a portion (i.e., the greater of $100,000 or 25 percent of available funds, not to exceed $1,000,000 per year) of revenue collected from REET II for "capital projects," as that term is defined in the statute authorizing REET I.</w:t>
      </w:r>
    </w:p>
    <w:p>
      <w:pPr>
        <w:spacing w:before="0" w:after="0" w:line="408" w:lineRule="exact"/>
        <w:ind w:left="0" w:right="0" w:firstLine="576"/>
        <w:jc w:val="left"/>
      </w:pPr>
      <w:r>
        <w:rPr/>
        <w:t xml:space="preserve">(a) Retains authority granted in the underlying bill allowing cities and counties to use REET II funds for the planning, acquisition, construction, reconstruction, repair, replacement, rehabilitation, improvement, or maintenance of "capital projects," as that term is defined in the REET I statute, as well as authorizes cities and counties to use REET II funds for the maintenance of "capital projects," as that term is defined under the REET II statute.</w:t>
      </w:r>
    </w:p>
    <w:p>
      <w:pPr>
        <w:spacing w:before="0" w:after="0" w:line="408" w:lineRule="exact"/>
        <w:ind w:left="0" w:right="0" w:firstLine="576"/>
        <w:jc w:val="left"/>
      </w:pPr>
      <w:r>
        <w:rPr/>
        <w:t xml:space="preserve">(b) Rather than requiring cities and counties to have adequate funds for capital projects during a six-year period, as proposed in the underlying bill, cities and counties are required: (i) To prepare a report demonstrating adequate funding for all capital projects for the succeeding two-year period; and (ii) to refrain from enacting any requirement on the listing, leasing, or sale of real property, unless the requirement is authorized by state or federal law.</w:t>
      </w:r>
    </w:p>
    <w:p>
      <w:pPr>
        <w:spacing w:before="0" w:after="0" w:line="408" w:lineRule="exact"/>
        <w:ind w:left="0" w:right="0" w:firstLine="576"/>
        <w:jc w:val="left"/>
      </w:pPr>
      <w:r>
        <w:rPr/>
        <w:t xml:space="preserve">(4) Establishes criteria for the report that a city or county must prepare in order to use REET I or REET II funds as authorized in the bill. For example, the report: (a) Must contain certain information regarding how REET I or REET II funds are used; and (b) must be adopted as part of the city or county's regular, public budget process.</w:t>
      </w:r>
    </w:p>
    <w:p>
      <w:pPr>
        <w:spacing w:before="0" w:after="0" w:line="408" w:lineRule="exact"/>
        <w:ind w:left="0" w:right="0" w:firstLine="576"/>
        <w:jc w:val="left"/>
      </w:pPr>
      <w:r>
        <w:rPr/>
        <w:t xml:space="preserve">(5) Restores a statutory provision repealed in the underlying bill that authorizes a city or county to use the greater of $100,000 or 35 percent of available funds, not to exceed $1,000,000 per year, collected from REET I revenue for the operations and maintenance of existing capital projects (REET I definition), between July 22, 2011, and December 31, 2016.</w:t>
      </w:r>
    </w:p>
    <w:p>
      <w:pPr>
        <w:spacing w:before="0" w:after="0" w:line="408" w:lineRule="exact"/>
        <w:ind w:left="0" w:right="0" w:firstLine="576"/>
        <w:jc w:val="left"/>
      </w:pPr>
      <w:r>
        <w:rPr/>
        <w:t xml:space="preserve">(6) Restores a statutory provision repealed in the underlying bill that authorizes a city or county to use the greater of $100,000 or 35 percent of available funds, not to exceed $1,000,000 per year, collected from REET II revenue for the operations and maintenance of existing capital projects (REET II definition) or for the payment of existing debt service, between June 30, 2012, and December 31, 2016.</w:t>
      </w:r>
    </w:p>
    <w:p>
      <w:pPr>
        <w:spacing w:before="0" w:after="0" w:line="408" w:lineRule="exact"/>
        <w:ind w:left="0" w:right="0" w:firstLine="576"/>
        <w:jc w:val="left"/>
      </w:pPr>
      <w:r>
        <w:rPr/>
        <w:t xml:space="preserve">(7) Eliminates a provision prohibiting any city, town, or county, or certain other governmental entities, from regulating the terms or conditions, or otherwise imposing requirements on, the listing or sale of real property, unless the requirements are consistent with state or federal law.</w:t>
      </w:r>
    </w:p>
    <w:p>
      <w:pPr>
        <w:spacing w:before="0" w:after="0" w:line="408" w:lineRule="exact"/>
        <w:ind w:left="0" w:right="0" w:firstLine="576"/>
        <w:jc w:val="left"/>
      </w:pPr>
      <w:r>
        <w:rPr/>
        <w:t xml:space="preserve">(8) Requires a city or county to post electronically any ordinance, resolution, or policy adopted by the city or county that imposes a requirement on landlords or sellers of real property to provide information to a buyer or tenant pertaining to subject property or the surrounding area, rather than requiring local governments to post electronically any adopted real estate seller disclosure requirements, as proposed in the underlying bill. Requires that adopted local ordinances, resolutions, or policies be posted electronically by the entity with which Commerce contracts for the provision of municipal research and services, rather than by the Municipal Research Center.</w:t>
      </w:r>
    </w:p>
    <w:p>
      <w:pPr>
        <w:spacing w:before="0" w:after="0" w:line="408" w:lineRule="exact"/>
        <w:ind w:left="0" w:right="0" w:firstLine="576"/>
        <w:jc w:val="left"/>
      </w:pPr>
      <w:r>
        <w:rPr/>
        <w:t xml:space="preserve">(9) Makes numerous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46c55964644ba" /></Relationships>
</file>