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72A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29B9">
            <w:t>2573-S2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29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29B9">
            <w:t>HICK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29B9">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29B9">
            <w:t>184</w:t>
          </w:r>
        </w:sdtContent>
      </w:sdt>
    </w:p>
    <w:p w:rsidR="00DF5D0E" w:rsidP="00B73E0A" w:rsidRDefault="00AA1230">
      <w:pPr>
        <w:pStyle w:val="OfferedBy"/>
        <w:spacing w:after="120"/>
      </w:pPr>
      <w:r>
        <w:tab/>
      </w:r>
      <w:r>
        <w:tab/>
      </w:r>
      <w:r>
        <w:tab/>
      </w:r>
    </w:p>
    <w:p w:rsidR="00DF5D0E" w:rsidRDefault="00072A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29B9">
            <w:rPr>
              <w:b/>
              <w:u w:val="single"/>
            </w:rPr>
            <w:t>2SHB 2573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929B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712</w:t>
          </w:r>
        </w:sdtContent>
      </w:sdt>
    </w:p>
    <w:p w:rsidR="00DF5D0E" w:rsidP="00605C39" w:rsidRDefault="00072A9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29B9">
            <w:t>By Representative Hickel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929B9">
          <w:pPr>
            <w:spacing w:after="400" w:line="408" w:lineRule="exact"/>
            <w:jc w:val="right"/>
            <w:rPr>
              <w:b/>
              <w:bCs/>
            </w:rPr>
          </w:pPr>
          <w:r>
            <w:rPr>
              <w:b/>
              <w:bCs/>
            </w:rPr>
            <w:t xml:space="preserve">WITHDRAWN 02/17/2016</w:t>
          </w:r>
        </w:p>
      </w:sdtContent>
    </w:sdt>
    <w:p w:rsidR="00B929B9" w:rsidP="00C8108C" w:rsidRDefault="00DE256E">
      <w:pPr>
        <w:pStyle w:val="Page"/>
      </w:pPr>
      <w:bookmarkStart w:name="StartOfAmendmentBody" w:id="1"/>
      <w:bookmarkEnd w:id="1"/>
      <w:permStart w:edGrp="everyone" w:id="1439500003"/>
      <w:r>
        <w:tab/>
      </w:r>
      <w:r w:rsidR="00B929B9">
        <w:t xml:space="preserve">On page </w:t>
      </w:r>
      <w:r w:rsidR="00612DB3">
        <w:t>6, after line 2, insert the following:</w:t>
      </w:r>
    </w:p>
    <w:p w:rsidR="00612DB3" w:rsidP="00612DB3" w:rsidRDefault="00612DB3">
      <w:pPr>
        <w:pStyle w:val="BegSec-New"/>
        <w:spacing w:before="0"/>
      </w:pPr>
      <w:r>
        <w:t>"</w:t>
      </w:r>
      <w:r>
        <w:rPr>
          <w:b/>
        </w:rPr>
        <w:t>Sec. 9.</w:t>
      </w:r>
      <w:r>
        <w:t xml:space="preserve">  RCW 43.88C.010 and 2015 c 128 s 2 are each amended to read as follows:</w:t>
      </w:r>
    </w:p>
    <w:p w:rsidR="00612DB3" w:rsidP="00612DB3" w:rsidRDefault="00612DB3">
      <w:pPr>
        <w:pStyle w:val="BegSec-New"/>
        <w:spacing w:before="0"/>
      </w:pPr>
      <w:r>
        <w:t>(1)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rsidR="00612DB3" w:rsidP="00612DB3" w:rsidRDefault="00612DB3">
      <w:pPr>
        <w:pStyle w:val="BegSec-New"/>
        <w:spacing w:before="0"/>
      </w:pPr>
      <w:r>
        <w:t>(2) The council shall employ a caseload forecast supervisor to supervise the preparation of all caseload forecasts. As used in this chapter, "supervisor" means the caseload forecast supervisor.</w:t>
      </w:r>
    </w:p>
    <w:p w:rsidR="00612DB3" w:rsidP="00612DB3" w:rsidRDefault="00612DB3">
      <w:pPr>
        <w:pStyle w:val="BegSec-New"/>
        <w:spacing w:before="0"/>
      </w:pPr>
      <w:r>
        <w:t>(3)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rsidR="00612DB3" w:rsidP="00612DB3" w:rsidRDefault="00612DB3">
      <w:pPr>
        <w:pStyle w:val="BegSec-New"/>
        <w:spacing w:before="0"/>
      </w:pPr>
      <w: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w:t>
      </w:r>
      <w:r>
        <w:lastRenderedPageBreak/>
        <w:t>approval and the forecast shall have the same effect as if approved by the council.</w:t>
      </w:r>
    </w:p>
    <w:p w:rsidR="00612DB3" w:rsidP="00612DB3" w:rsidRDefault="00612DB3">
      <w:pPr>
        <w:pStyle w:val="BegSec-New"/>
        <w:spacing w:before="0"/>
      </w:pPr>
      <w:r>
        <w:t>(5) A councilmember who does not cast an affirmative vote for approval of the official caseload forecast may request, and the supervisor shall provide, an alternative forecast based on assumptions specified by the member.</w:t>
      </w:r>
    </w:p>
    <w:p w:rsidR="00612DB3" w:rsidP="00612DB3" w:rsidRDefault="00612DB3">
      <w:pPr>
        <w:pStyle w:val="BegSec-New"/>
        <w:spacing w:before="0"/>
      </w:pPr>
      <w:r>
        <w:t>(6)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rsidR="00612DB3" w:rsidP="00612DB3" w:rsidRDefault="00612DB3">
      <w:pPr>
        <w:pStyle w:val="BegSec-New"/>
        <w:spacing w:before="0"/>
      </w:pPr>
      <w:r>
        <w:t>(7) "Caseload," as used in this chapter, means:</w:t>
      </w:r>
    </w:p>
    <w:p w:rsidR="00612DB3" w:rsidP="00612DB3" w:rsidRDefault="00612DB3">
      <w:pPr>
        <w:pStyle w:val="BegSec-New"/>
        <w:spacing w:before="0"/>
      </w:pPr>
      <w:r>
        <w:t>(a) The number of persons expected to meet entitlement requirements and require the services of public assistance programs, state correctional institutions, state correctional noninstitutional supervision, state institutions for juvenile offenders, ((</w:t>
      </w:r>
      <w:r w:rsidRPr="00612DB3">
        <w:rPr>
          <w:strike/>
        </w:rPr>
        <w:t>the common school system,</w:t>
      </w:r>
      <w:r>
        <w:t>)) long-term care, medical assistance, foster care, and adoption support;</w:t>
      </w:r>
    </w:p>
    <w:p w:rsidR="00612DB3" w:rsidP="00612DB3" w:rsidRDefault="00612DB3">
      <w:pPr>
        <w:pStyle w:val="BegSec-New"/>
        <w:spacing w:before="0"/>
      </w:pPr>
      <w:r>
        <w:t>(b) The number of students who are eligible for the Washington college bound scholarship program and are expected to attend an institution of higher education as defined in RCW 28B.92.030;</w:t>
      </w:r>
    </w:p>
    <w:p w:rsidRPr="00612DB3" w:rsidR="00612DB3" w:rsidP="00612DB3" w:rsidRDefault="00612DB3">
      <w:pPr>
        <w:pStyle w:val="BegSec-New"/>
        <w:spacing w:before="0"/>
        <w:rPr>
          <w:u w:val="single"/>
        </w:rPr>
      </w:pPr>
      <w:r>
        <w:t>(c) The number of children who are eligible, as defined in RCW 43.215.405, to participate in, and the number of children actually served by, the early childhood education and assistance program</w:t>
      </w:r>
      <w:r w:rsidRPr="00612DB3">
        <w:rPr>
          <w:u w:val="single"/>
        </w:rPr>
        <w:t>; and</w:t>
      </w:r>
    </w:p>
    <w:p w:rsidR="00612DB3" w:rsidP="00612DB3" w:rsidRDefault="00612DB3">
      <w:pPr>
        <w:pStyle w:val="BegSec-New"/>
        <w:spacing w:before="0"/>
      </w:pPr>
      <w:r w:rsidRPr="00612DB3">
        <w:rPr>
          <w:u w:val="single"/>
        </w:rPr>
        <w:t xml:space="preserve">(d) The number of persons expected to meet entitlement requirements in the common school system, by school district and in total statewide. </w:t>
      </w:r>
      <w:r w:rsidR="00B54B03">
        <w:rPr>
          <w:u w:val="single"/>
        </w:rPr>
        <w:t>T</w:t>
      </w:r>
      <w:r w:rsidRPr="00612DB3">
        <w:rPr>
          <w:u w:val="single"/>
        </w:rPr>
        <w:t xml:space="preserve">he council must consider a geographic information system solution </w:t>
      </w:r>
      <w:r w:rsidR="00B54B03">
        <w:rPr>
          <w:u w:val="single"/>
        </w:rPr>
        <w:t xml:space="preserve">when determining district level forecasts, </w:t>
      </w:r>
      <w:r w:rsidRPr="00612DB3">
        <w:rPr>
          <w:u w:val="single"/>
        </w:rPr>
        <w:t xml:space="preserve">and </w:t>
      </w:r>
      <w:r w:rsidR="00B54B03">
        <w:rPr>
          <w:u w:val="single"/>
        </w:rPr>
        <w:t xml:space="preserve">must consider </w:t>
      </w:r>
      <w:r w:rsidRPr="00612DB3">
        <w:rPr>
          <w:u w:val="single"/>
        </w:rPr>
        <w:t>providing districts the ability to adjust the final forecast</w:t>
      </w:r>
      <w:r>
        <w:t>.</w:t>
      </w:r>
    </w:p>
    <w:p w:rsidR="00612DB3" w:rsidP="00612DB3" w:rsidRDefault="00612DB3">
      <w:pPr>
        <w:pStyle w:val="BegSec-New"/>
        <w:spacing w:before="0"/>
      </w:pPr>
      <w:r>
        <w:t>(8) The caseload forecast council shall forecast the temporary assistance for needy families and the working connections child care programs as a courtesy.</w:t>
      </w:r>
    </w:p>
    <w:p w:rsidR="00612DB3" w:rsidP="00612DB3" w:rsidRDefault="00612DB3">
      <w:pPr>
        <w:pStyle w:val="BegSec-New"/>
        <w:spacing w:before="0"/>
      </w:pPr>
      <w:r>
        <w:lastRenderedPageBreak/>
        <w:t>(9) The caseload forecast council shall forecast youth participating in the extended foster care program pursuant to RCW 74.13.031 separately from other children who are residing in foster care and who are under eighteen years of age.</w:t>
      </w:r>
    </w:p>
    <w:p w:rsidR="00612DB3" w:rsidP="00612DB3" w:rsidRDefault="00612DB3">
      <w:pPr>
        <w:pStyle w:val="BegSec-New"/>
        <w:spacing w:before="0"/>
      </w:pPr>
      <w:r>
        <w:t>(10) Unless the context clearly requires otherwise, the definitions provided in RCW 43.88.020 apply to this chapter."</w:t>
      </w:r>
    </w:p>
    <w:p w:rsidR="00612DB3" w:rsidP="00612DB3" w:rsidRDefault="00612DB3">
      <w:pPr>
        <w:pStyle w:val="RCWSLText"/>
      </w:pPr>
    </w:p>
    <w:p w:rsidR="00612DB3" w:rsidP="00612DB3" w:rsidRDefault="00612DB3">
      <w:pPr>
        <w:pStyle w:val="RCWSLText"/>
      </w:pPr>
      <w:r>
        <w:tab/>
        <w:t>Renumber the remaining sections consecutively and correct any internal references accordingly.</w:t>
      </w:r>
    </w:p>
    <w:p w:rsidR="00612DB3" w:rsidP="00612DB3" w:rsidRDefault="00612DB3">
      <w:pPr>
        <w:pStyle w:val="RCWSLText"/>
      </w:pPr>
    </w:p>
    <w:p w:rsidRPr="00612DB3" w:rsidR="00612DB3" w:rsidP="00612DB3" w:rsidRDefault="00612DB3">
      <w:pPr>
        <w:pStyle w:val="RCWSLText"/>
      </w:pPr>
      <w:r>
        <w:tab/>
        <w:t>Correct the title.</w:t>
      </w:r>
    </w:p>
    <w:p w:rsidRPr="00B929B9" w:rsidR="00DF5D0E" w:rsidP="00B929B9" w:rsidRDefault="00DF5D0E">
      <w:pPr>
        <w:suppressLineNumbers/>
        <w:rPr>
          <w:spacing w:val="-3"/>
        </w:rPr>
      </w:pPr>
    </w:p>
    <w:permEnd w:id="1439500003"/>
    <w:p w:rsidR="00ED2EEB" w:rsidP="00B929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34974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929B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54B03" w:rsidRDefault="0096303F">
                <w:pPr>
                  <w:pStyle w:val="Effect"/>
                  <w:suppressLineNumbers/>
                </w:pPr>
                <w:r w:rsidRPr="0096303F">
                  <w:tab/>
                </w:r>
                <w:r w:rsidRPr="0096303F" w:rsidR="001C1B27">
                  <w:rPr>
                    <w:u w:val="single"/>
                  </w:rPr>
                  <w:t>EFFECT:</w:t>
                </w:r>
                <w:r w:rsidRPr="0096303F" w:rsidR="001C1B27">
                  <w:t>   </w:t>
                </w:r>
                <w:r w:rsidR="00612DB3">
                  <w:t>Specifies that "caseload" for purposes of caseload forecasts of common school students includes school district and statewide caseloads.  Requires the Caseload Forecast Council</w:t>
                </w:r>
                <w:r w:rsidR="00B54B03">
                  <w:t xml:space="preserve"> </w:t>
                </w:r>
                <w:r w:rsidR="00612DB3">
                  <w:t xml:space="preserve">to </w:t>
                </w:r>
                <w:r w:rsidRPr="00612DB3" w:rsidR="00612DB3">
                  <w:t>consider a geograp</w:t>
                </w:r>
                <w:r w:rsidR="00B54B03">
                  <w:t xml:space="preserve">hic information system solution when determining district level forecasts, </w:t>
                </w:r>
                <w:r w:rsidRPr="00612DB3" w:rsidR="00612DB3">
                  <w:t xml:space="preserve">and </w:t>
                </w:r>
                <w:r w:rsidR="00B54B03">
                  <w:t xml:space="preserve">to consider </w:t>
                </w:r>
                <w:r w:rsidRPr="00612DB3" w:rsidR="00612DB3">
                  <w:t>providing districts the ability to adjust the final forecast.</w:t>
                </w:r>
              </w:p>
            </w:tc>
          </w:tr>
        </w:sdtContent>
      </w:sdt>
      <w:permEnd w:id="1483497483"/>
    </w:tbl>
    <w:p w:rsidR="00DF5D0E" w:rsidP="00B929B9" w:rsidRDefault="00DF5D0E">
      <w:pPr>
        <w:pStyle w:val="BillEnd"/>
        <w:suppressLineNumbers/>
      </w:pPr>
    </w:p>
    <w:p w:rsidR="00DF5D0E" w:rsidP="00B929B9" w:rsidRDefault="00DE256E">
      <w:pPr>
        <w:pStyle w:val="BillEnd"/>
        <w:suppressLineNumbers/>
      </w:pPr>
      <w:r>
        <w:rPr>
          <w:b/>
        </w:rPr>
        <w:t>--- END ---</w:t>
      </w:r>
    </w:p>
    <w:p w:rsidR="00DF5D0E" w:rsidP="00B929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B9" w:rsidRDefault="00B929B9" w:rsidP="00DF5D0E">
      <w:r>
        <w:separator/>
      </w:r>
    </w:p>
  </w:endnote>
  <w:endnote w:type="continuationSeparator" w:id="0">
    <w:p w:rsidR="00B929B9" w:rsidRDefault="00B929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3" w:rsidRDefault="00986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72A98">
    <w:pPr>
      <w:pStyle w:val="AmendDraftFooter"/>
    </w:pPr>
    <w:r>
      <w:fldChar w:fldCharType="begin"/>
    </w:r>
    <w:r>
      <w:instrText xml:space="preserve"> TITLE   \* MERGEFORMAT </w:instrText>
    </w:r>
    <w:r>
      <w:fldChar w:fldCharType="separate"/>
    </w:r>
    <w:r>
      <w:t>2573-S2 AMH HICK WARG 184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72A98">
    <w:pPr>
      <w:pStyle w:val="AmendDraftFooter"/>
    </w:pPr>
    <w:r>
      <w:fldChar w:fldCharType="begin"/>
    </w:r>
    <w:r>
      <w:instrText xml:space="preserve"> TITLE   \* MERGEFORMAT </w:instrText>
    </w:r>
    <w:r>
      <w:fldChar w:fldCharType="separate"/>
    </w:r>
    <w:r>
      <w:t>2573-S2 AMH HICK WARG 184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B9" w:rsidRDefault="00B929B9" w:rsidP="00DF5D0E">
      <w:r>
        <w:separator/>
      </w:r>
    </w:p>
  </w:footnote>
  <w:footnote w:type="continuationSeparator" w:id="0">
    <w:p w:rsidR="00B929B9" w:rsidRDefault="00B929B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3" w:rsidRDefault="00986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2A98"/>
    <w:rsid w:val="00094D18"/>
    <w:rsid w:val="00096165"/>
    <w:rsid w:val="000C6C82"/>
    <w:rsid w:val="000E603A"/>
    <w:rsid w:val="00102468"/>
    <w:rsid w:val="00106544"/>
    <w:rsid w:val="00146AAF"/>
    <w:rsid w:val="001A775A"/>
    <w:rsid w:val="001B4E53"/>
    <w:rsid w:val="001C1B27"/>
    <w:rsid w:val="001E6675"/>
    <w:rsid w:val="00217E8A"/>
    <w:rsid w:val="00265296"/>
    <w:rsid w:val="00281CBD"/>
    <w:rsid w:val="002E2F2F"/>
    <w:rsid w:val="003075A7"/>
    <w:rsid w:val="00316CD9"/>
    <w:rsid w:val="003E2FC6"/>
    <w:rsid w:val="00405E58"/>
    <w:rsid w:val="00492DDC"/>
    <w:rsid w:val="004C6615"/>
    <w:rsid w:val="00523C5A"/>
    <w:rsid w:val="005E69C3"/>
    <w:rsid w:val="00605C39"/>
    <w:rsid w:val="00612DB3"/>
    <w:rsid w:val="006841E6"/>
    <w:rsid w:val="006F7027"/>
    <w:rsid w:val="007049E4"/>
    <w:rsid w:val="0072335D"/>
    <w:rsid w:val="0072541D"/>
    <w:rsid w:val="00757317"/>
    <w:rsid w:val="007769AF"/>
    <w:rsid w:val="007D1589"/>
    <w:rsid w:val="007D35D4"/>
    <w:rsid w:val="0083749C"/>
    <w:rsid w:val="008443FE"/>
    <w:rsid w:val="00846034"/>
    <w:rsid w:val="00897928"/>
    <w:rsid w:val="008C7E6E"/>
    <w:rsid w:val="009000F3"/>
    <w:rsid w:val="00931B84"/>
    <w:rsid w:val="0096303F"/>
    <w:rsid w:val="00972869"/>
    <w:rsid w:val="00984CD1"/>
    <w:rsid w:val="00986A53"/>
    <w:rsid w:val="009F23A9"/>
    <w:rsid w:val="00A01A01"/>
    <w:rsid w:val="00A01F29"/>
    <w:rsid w:val="00A17B5B"/>
    <w:rsid w:val="00A4729B"/>
    <w:rsid w:val="00A93D4A"/>
    <w:rsid w:val="00AA1230"/>
    <w:rsid w:val="00AB682C"/>
    <w:rsid w:val="00AD2D0A"/>
    <w:rsid w:val="00AE18A7"/>
    <w:rsid w:val="00B31D1C"/>
    <w:rsid w:val="00B41494"/>
    <w:rsid w:val="00B518D0"/>
    <w:rsid w:val="00B54B03"/>
    <w:rsid w:val="00B56650"/>
    <w:rsid w:val="00B73E0A"/>
    <w:rsid w:val="00B929B9"/>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763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2573-S2</BillDocName>
  <AmendType>AMH</AmendType>
  <SponsorAcronym>HICK</SponsorAcronym>
  <DrafterAcronym>WARG</DrafterAcronym>
  <DraftNumber>184</DraftNumber>
  <ReferenceNumber>2SHB 2573</ReferenceNumber>
  <Floor>H AMD</Floor>
  <AmendmentNumber> 712</AmendmentNumber>
  <Sponsors>By Representative Hickel</Sponsors>
  <FloorAction>WITHDRAWN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3</Pages>
  <Words>690</Words>
  <Characters>3831</Characters>
  <Application>Microsoft Office Word</Application>
  <DocSecurity>8</DocSecurity>
  <Lines>89</Lines>
  <Paragraphs>27</Paragraphs>
  <ScaleCrop>false</ScaleCrop>
  <HeadingPairs>
    <vt:vector size="2" baseType="variant">
      <vt:variant>
        <vt:lpstr>Title</vt:lpstr>
      </vt:variant>
      <vt:variant>
        <vt:i4>1</vt:i4>
      </vt:variant>
    </vt:vector>
  </HeadingPairs>
  <TitlesOfParts>
    <vt:vector size="1" baseType="lpstr">
      <vt:lpstr>2573-S2 AMH HICK WARG 184</vt:lpstr>
    </vt:vector>
  </TitlesOfParts>
  <Company>Washington State Legislature</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2573-S2 AMH HICK WARG 184</dc:title>
  <dc:creator>Megan Wargacki</dc:creator>
  <cp:lastModifiedBy>Wargacki, Megan</cp:lastModifiedBy>
  <cp:revision>13</cp:revision>
  <cp:lastPrinted>2016-02-12T19:35:00Z</cp:lastPrinted>
  <dcterms:created xsi:type="dcterms:W3CDTF">2016-02-12T18:49:00Z</dcterms:created>
  <dcterms:modified xsi:type="dcterms:W3CDTF">2016-02-12T19:35:00Z</dcterms:modified>
</cp:coreProperties>
</file>