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7b42829b34f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2704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H4390.1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2704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peace officer has authority to assist the department with the supervision of offenders.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peace officer has reasonable cause to believe an offender is in violation of the terms of supervision, the peace officer may conduct a search as provided under RCW 9.94A.631, of the offender's person, automobile, or other personal property to search for evidence of the violation. A peace officer may assist a community corrections officer with a search of the offender's residence if requested to do so by the community corrections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prevents a peace officer from arresting an offender for any new crime found as a result of the offender's search authorized by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Upon substantiation of a violation of the offender's conditions of community supervision, utilizing existing methods and systems, the peace officer should notify the department of the violation.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the purposes of this section, "peace officer" refers to a limited or general authority Washington peace officer as defined in RCW 10.93.020."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Eliminates the provisions that: (a) Authorized a peace officer to directly arrest and detain an offender who violates community custody; and (b) required that peace officer to submit a report summarizing the arrest to the department of corrections (DOC) within 24 hours of the arrest.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Adds a requirement that a peace officer, utilizing existing methods and systems, should notify the DOC upon substantiation that an offender has violated his/her conditions of community supervision.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070a442cb4664" /></Relationships>
</file>