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dd9cf6efa47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5057-S2.E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H2669.1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E2SSB 5057</w:t>
      </w:r>
      <w:r>
        <w:t xml:space="preserve"> -</w:t>
      </w:r>
      <w:r>
        <w:t xml:space="preserve"> </w:t>
        <w:t xml:space="preserve">H AMD TO H AMD (H-2656.4/15)</w:t>
      </w:r>
      <w:r>
        <w:t xml:space="preserve"> </w:t>
      </w:r>
      <w:r>
        <w:rPr>
          <w:b/>
        </w:rPr>
        <w:t xml:space="preserve">422</w:t>
      </w:r>
    </w:p>
    <w:p>
      <w:pPr>
        <w:ind w:left="0" w:right="0" w:firstLine="360"/>
        <w:jc w:val="both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WITHDRAWN 4/14/2015</w:t>
      </w:r>
    </w:p>
    <w:p>
      <w:pPr>
        <w:ind w:left="0" w:right="0" w:firstLine="360"/>
        <w:jc w:val="both"/>
      </w:pPr>
      <w:r>
        <w:rPr/>
        <w:t xml:space="preserve">On page 46, line 14 of the amendment, after "carrier." insert ""Railroad carrier" does not include a class III railroad."</w:t>
      </w:r>
    </w:p>
    <w:p>
      <w:pPr>
        <w:ind w:left="0" w:right="0" w:firstLine="360"/>
        <w:jc w:val="both"/>
      </w:pPr>
      <w:r>
        <w:rPr/>
        <w:t xml:space="preserve">On page 47, line 6 of the amendment, after "(2)" strike "(a)"</w:t>
      </w:r>
    </w:p>
    <w:p>
      <w:pPr>
        <w:ind w:left="0" w:right="0" w:firstLine="360"/>
        <w:jc w:val="both"/>
      </w:pPr>
      <w:r>
        <w:rPr/>
        <w:t xml:space="preserve">On page 47, line 6 of the amendment, after "Class II" strike "and class III"</w:t>
      </w:r>
    </w:p>
    <w:p>
      <w:pPr>
        <w:ind w:left="0" w:right="0" w:firstLine="360"/>
        <w:jc w:val="both"/>
      </w:pPr>
      <w:r>
        <w:rPr/>
        <w:t xml:space="preserve">On page 47, after line 10 of the amendment, strike all material through "road." on line 13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Exempts short line railroads from minimum train crewing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9bff16a22403a" /></Relationships>
</file>