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2cfe9a32d040c8" /></Relationships>
</file>

<file path=word/document.xml><?xml version="1.0" encoding="utf-8"?>
<w:document xmlns:w="http://schemas.openxmlformats.org/wordprocessingml/2006/main">
  <w:body>
    <w:p>
      <w:r>
        <w:rPr>
          <w:b/>
        </w:rPr>
        <w:r>
          <w:rPr/>
          <w:t xml:space="preserve">5605</w:t>
        </w:r>
      </w:r>
      <w:r>
        <w:rPr>
          <w:b/>
        </w:rPr>
        <w:t xml:space="preserve"> </w:t>
        <w:t xml:space="preserve">AMH</w:t>
      </w:r>
      <w:r>
        <w:rPr>
          <w:b/>
        </w:rPr>
        <w:t xml:space="preserve"> </w:t>
        <w:r>
          <w:rPr/>
          <w:t xml:space="preserve">ENGR</w:t>
        </w:r>
      </w:r>
      <w:r>
        <w:rPr>
          <w:b/>
        </w:rPr>
        <w:t xml:space="preserve"> </w:t>
        <w:r>
          <w:rPr/>
          <w:t xml:space="preserve">H4568.E</w:t>
        </w:r>
      </w:r>
      <w:r>
        <w:rPr>
          <w:b/>
        </w:rPr>
        <w:t xml:space="preserve"> - NOT FOR FLOOR USE</w:t>
      </w:r>
    </w:p>
    <w:p>
      <w:pPr>
        <w:ind w:left="0" w:right="0" w:firstLine="576"/>
      </w:pPr>
    </w:p>
    <w:p>
      <w:pPr>
        <w:spacing w:before="480" w:after="0" w:line="408" w:lineRule="exact"/>
      </w:pPr>
      <w:r>
        <w:rPr>
          <w:b/>
          <w:u w:val="single"/>
        </w:rPr>
        <w:t xml:space="preserve">SB 5605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Early Learning &amp; Human Services</w:t>
      </w:r>
    </w:p>
    <w:p>
      <w:pPr>
        <w:jc w:val="right"/>
      </w:pPr>
      <w:r>
        <w:rPr>
          <w:b/>
        </w:rPr>
        <w:t xml:space="preserve">ADOPTED AND ENGROSSED 3/4/2016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2014 c 202 s 307, 2014 c 100 s 2, and 2014 c 5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w:t>
      </w:r>
      <w:r>
        <w:t>((</w:t>
      </w:r>
      <w:r>
        <w:rPr>
          <w:strike/>
        </w:rPr>
        <w:t xml:space="preserve">(11)</w:t>
      </w:r>
      <w:r>
        <w:t>))</w:t>
      </w:r>
      <w:r>
        <w:rPr/>
        <w:t xml:space="preserve"> </w:t>
      </w:r>
      <w:r>
        <w:rPr>
          <w:u w:val="single"/>
        </w:rPr>
        <w:t xml:space="preserve">(12)</w:t>
      </w:r>
      <w:r>
        <w:rPr/>
        <w:t xml:space="preserve">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w:t>
      </w:r>
      <w:r>
        <w:t>((</w:t>
      </w:r>
      <w:r>
        <w:rPr>
          <w:strike/>
        </w:rPr>
        <w:t xml:space="preserve">sixteen</w:t>
      </w:r>
      <w:r>
        <w:t>))</w:t>
      </w:r>
      <w:r>
        <w:rPr/>
        <w:t xml:space="preserve"> </w:t>
      </w:r>
      <w:r>
        <w:rPr>
          <w:u w:val="single"/>
        </w:rPr>
        <w:t xml:space="preserve">eighteen</w:t>
      </w:r>
      <w:r>
        <w:rPr/>
        <w:t xml:space="preserve">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w:t>
      </w:r>
      <w:r>
        <w:t>((</w:t>
      </w:r>
      <w:r>
        <w:rPr>
          <w:strike/>
        </w:rPr>
        <w:t xml:space="preserve">(i)</w:t>
      </w:r>
      <w:r>
        <w:t>))</w:t>
      </w:r>
      <w:r>
        <w:rPr/>
        <w:t xml:space="preserve"> </w:t>
      </w:r>
      <w:r>
        <w:rPr>
          <w:u w:val="single"/>
        </w:rPr>
        <w:t xml:space="preserve">(A)</w:t>
      </w:r>
      <w:r>
        <w:rPr/>
        <w:t xml:space="preserve"> The intent to protect victims of domestic violence under RCW 10.99.010; </w:t>
      </w:r>
      <w:r>
        <w:t>((</w:t>
      </w:r>
      <w:r>
        <w:rPr>
          <w:strike/>
        </w:rPr>
        <w:t xml:space="preserve">(ii)</w:t>
      </w:r>
      <w:r>
        <w:t>))</w:t>
      </w:r>
      <w:r>
        <w:rPr/>
        <w:t xml:space="preserve"> </w:t>
      </w:r>
      <w:r>
        <w:rPr>
          <w:u w:val="single"/>
        </w:rPr>
        <w:t xml:space="preserve">(B)</w:t>
      </w:r>
      <w:r>
        <w:rPr/>
        <w:t xml:space="preserve"> the comparative extent of injuries inflicted or serious threats creating fear of physical injury; and </w:t>
      </w:r>
      <w:r>
        <w:t>((</w:t>
      </w:r>
      <w:r>
        <w:rPr>
          <w:strike/>
        </w:rPr>
        <w:t xml:space="preserve">(iii)</w:t>
      </w:r>
      <w:r>
        <w:t>))</w:t>
      </w:r>
      <w:r>
        <w:rPr/>
        <w:t xml:space="preserve"> </w:t>
      </w:r>
      <w:r>
        <w:rPr>
          <w:u w:val="single"/>
        </w:rPr>
        <w:t xml:space="preserve">(C)</w:t>
      </w:r>
      <w:r>
        <w:rPr/>
        <w:t xml:space="preserve"> the history of domestic violence of each person involved, including whether the conduct was part of an ongoing pattern of abuse.</w:t>
      </w:r>
    </w:p>
    <w:p>
      <w:pPr>
        <w:spacing w:before="0" w:after="0" w:line="408" w:lineRule="exact"/>
        <w:ind w:left="0" w:right="0" w:firstLine="576"/>
        <w:jc w:val="left"/>
      </w:pPr>
      <w:r>
        <w:rPr/>
        <w:t xml:space="preserve">(3) </w:t>
      </w:r>
      <w:r>
        <w:rPr>
          <w:u w:val="single"/>
        </w:rPr>
        <w:t xml:space="preserve">A police officer shall, at the request of a parent or guardian, arrest the sixteen or seventeen year old child of that parent or guardian if the officer has probable cause to believe that the child has assaulted a family or household member as defined in RCW 10.99.020 in the preceding four hours. Nothing in this subsection removes a police officer's existing authority provided in this section to make an arrest.</w:t>
      </w:r>
    </w:p>
    <w:p>
      <w:pPr>
        <w:spacing w:before="0" w:after="0" w:line="408" w:lineRule="exact"/>
        <w:ind w:left="0" w:right="0" w:firstLine="576"/>
        <w:jc w:val="left"/>
      </w:pPr>
      <w:r>
        <w:rPr>
          <w:u w:val="single"/>
        </w:rPr>
        <w:t xml:space="preserve">(4)</w:t>
      </w:r>
      <w:r>
        <w:rPr/>
        <w:t xml:space="preserve">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Except as specifically provided in subsections (2), </w:t>
      </w:r>
      <w:r>
        <w:t>((</w:t>
      </w:r>
      <w:r>
        <w:rPr>
          <w:strike/>
        </w:rPr>
        <w:t xml:space="preserve">(3)</w:t>
      </w:r>
      <w:r>
        <w:t>))</w:t>
      </w:r>
      <w:r>
        <w:rPr/>
        <w:t xml:space="preserve"> </w:t>
      </w:r>
      <w:r>
        <w:rPr>
          <w:u w:val="single"/>
        </w:rPr>
        <w:t xml:space="preserve">(4)</w:t>
      </w:r>
      <w:r>
        <w:rPr/>
        <w:t xml:space="preserve">, </w:t>
      </w:r>
      <w:r>
        <w:t>((</w:t>
      </w:r>
      <w:r>
        <w:rPr>
          <w:strike/>
        </w:rPr>
        <w:t xml:space="preserve">(4)</w:t>
      </w:r>
      <w:r>
        <w:t>))</w:t>
      </w:r>
      <w:r>
        <w:rPr/>
        <w:t xml:space="preserve"> </w:t>
      </w:r>
      <w:r>
        <w:rPr>
          <w:u w:val="single"/>
        </w:rPr>
        <w:t xml:space="preserve">(5)</w:t>
      </w:r>
      <w:r>
        <w:rPr/>
        <w:t xml:space="preserve">, and </w:t>
      </w:r>
      <w:r>
        <w:t>((</w:t>
      </w:r>
      <w:r>
        <w:rPr>
          <w:strike/>
        </w:rPr>
        <w:t xml:space="preserve">(7)</w:t>
      </w:r>
      <w:r>
        <w:t>))</w:t>
      </w:r>
      <w:r>
        <w:rPr/>
        <w:t xml:space="preserve"> </w:t>
      </w:r>
      <w:r>
        <w:rPr>
          <w:u w:val="single"/>
        </w:rPr>
        <w:t xml:space="preserve">(8)</w:t>
      </w:r>
      <w:r>
        <w:rPr/>
        <w:t xml:space="preserve"> of this section, nothing in this section extends or otherwise affects the powers of arrest prescribed in Title 46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No police officer may be held criminally or civilly liable for making an arrest pursuant to subsection (2) or </w:t>
      </w:r>
      <w:r>
        <w:t>((</w:t>
      </w:r>
      <w:r>
        <w:rPr>
          <w:strike/>
        </w:rPr>
        <w:t xml:space="preserve">(9)</w:t>
      </w:r>
      <w:r>
        <w:t>))</w:t>
      </w:r>
      <w:r>
        <w:rPr/>
        <w:t xml:space="preserve"> </w:t>
      </w:r>
      <w:r>
        <w:rPr>
          <w:u w:val="single"/>
        </w:rPr>
        <w:t xml:space="preserve">(10)</w:t>
      </w:r>
      <w:r>
        <w:rPr/>
        <w:t xml:space="preserve"> of this section if the police officer acts in good faith and without malice.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pPr>
        <w:spacing w:before="0" w:after="0" w:line="408" w:lineRule="exact"/>
        <w:ind w:left="0" w:right="0" w:firstLine="576"/>
        <w:jc w:val="left"/>
      </w:pPr>
      <w:r>
        <w:rPr>
          <w:u w:val="single"/>
        </w:rPr>
        <w:t xml:space="preserve">(18) A juvenile detention facility shall book into detention any person under age eighteen brought to that detention facility pursuant to an arrest for assaulting a family or household member as defined in RCW 10.99.020.</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0edc686c09498f" /></Relationships>
</file>