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139e3d9c64b62" /></Relationships>
</file>

<file path=word/document.xml><?xml version="1.0" encoding="utf-8"?>
<w:document xmlns:w="http://schemas.openxmlformats.org/wordprocessingml/2006/main">
  <w:body>
    <w:p>
      <w:r>
        <w:rPr>
          <w:b/>
        </w:rPr>
        <w:r>
          <w:rPr/>
          <w:t xml:space="preserve">5935.E</w:t>
        </w:r>
      </w:r>
      <w:r>
        <w:rPr>
          <w:b/>
        </w:rPr>
        <w:t xml:space="preserve"> </w:t>
        <w:t xml:space="preserve">AMH</w:t>
      </w:r>
      <w:r>
        <w:rPr>
          <w:b/>
        </w:rPr>
        <w:t xml:space="preserve"> </w:t>
        <w:r>
          <w:rPr/>
          <w:t xml:space="preserve">ENGR</w:t>
        </w:r>
      </w:r>
      <w:r>
        <w:rPr>
          <w:b/>
        </w:rPr>
        <w:t xml:space="preserve"> </w:t>
        <w:r>
          <w:rPr/>
          <w:t xml:space="preserve">H2640.E</w:t>
        </w:r>
      </w:r>
      <w:r>
        <w:rPr>
          <w:b/>
        </w:rPr>
        <w:t xml:space="preserve"> - NOT FOR FLOOR USE</w:t>
      </w:r>
    </w:p>
    <w:p>
      <w:pPr>
        <w:ind w:left="0" w:right="0" w:firstLine="576"/>
      </w:pPr>
    </w:p>
    <w:p>
      <w:pPr>
        <w:spacing w:before="480" w:after="0" w:line="408" w:lineRule="exact"/>
      </w:pPr>
      <w:r>
        <w:rPr>
          <w:b/>
          <w:u w:val="single"/>
        </w:rPr>
        <w:t xml:space="preserve">ESB 5935</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AND ENGROSSED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ind w:left="0" w:right="0" w:firstLine="360"/>
        <w:jc w:val="both"/>
      </w:pPr>
      <w:r>
        <w:rPr/>
        <w:t xml:space="preserve">As used in RCW 69.41.100 through 69.41.180, the following words shall have the following meanings:</w:t>
      </w:r>
    </w:p>
    <w:p>
      <w:pPr>
        <w:ind w:left="0" w:right="0" w:firstLine="360"/>
        <w:jc w:val="both"/>
      </w:pPr>
      <w:r>
        <w:rPr/>
        <w:t xml:space="preserve">(1) "Brand name" means the proprietary or trade name selected by the manufacturer and placed upon a drug, its container, label, or wrapping at the time of packaging;</w:t>
      </w:r>
    </w:p>
    <w:p>
      <w:pPr>
        <w:ind w:left="0" w:right="0" w:firstLine="360"/>
        <w:jc w:val="both"/>
      </w:pPr>
      <w:r>
        <w:rPr/>
        <w:t xml:space="preserve">(2) "Generic name" means the official title of a drug or drug ingredients published in the latest edition of a nationally recognized pharmacopoeia or formulary;</w:t>
      </w:r>
    </w:p>
    <w:p>
      <w:pPr>
        <w:ind w:left="0" w:right="0" w:firstLine="360"/>
        <w:jc w:val="both"/>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ind w:left="0" w:right="0" w:firstLine="360"/>
        <w:jc w:val="both"/>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ind w:left="0" w:right="0" w:firstLine="360"/>
        <w:jc w:val="both"/>
      </w:pPr>
      <w:r>
        <w:rPr/>
        <w:t xml:space="preserve">(5) "Practitioner" means a physician, osteopathic physician and surgeon, dentist, veterinarian, or any other person authorized to prescribe drugs under the laws of this state</w:t>
      </w:r>
      <w:r>
        <w:rPr>
          <w:u w:val="single"/>
        </w:rPr>
        <w:t xml:space="preserve">;</w:t>
      </w:r>
    </w:p>
    <w:p>
      <w:pPr>
        <w:ind w:left="0" w:right="0" w:firstLine="360"/>
        <w:jc w:val="both"/>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ind w:left="0" w:right="0" w:firstLine="360"/>
        <w:jc w:val="both"/>
      </w:pPr>
      <w:r>
        <w:rPr>
          <w:u w:val="single"/>
        </w:rPr>
        <w:t xml:space="preserve">(7) "Interchangeable" means a biological product:</w:t>
      </w:r>
    </w:p>
    <w:p>
      <w:pPr>
        <w:ind w:left="0" w:right="0" w:firstLine="360"/>
        <w:jc w:val="both"/>
      </w:pPr>
      <w:r>
        <w:rPr>
          <w:u w:val="single"/>
        </w:rPr>
        <w:t xml:space="preserve">(a) Licensed by the federal food and drug administration and determined to meet the safety standards for interchangeability pursuant to 42 U.S.C. Sec. 262(k)(4)</w:t>
      </w:r>
      <w:r>
        <w:rPr>
          <w:u w:val="single"/>
        </w:rPr>
        <w:t xml:space="preserve">; or</w:t>
      </w:r>
    </w:p>
    <w:p>
      <w:pPr>
        <w:ind w:left="0" w:right="0" w:firstLine="360"/>
        <w:jc w:val="both"/>
      </w:pPr>
      <w:r>
        <w:rPr>
          <w:u w:val="single"/>
        </w:rPr>
        <w:t xml:space="preserve">(b) Approved based on an application filed under section 505(b) of the federal food, drug, and cosmetic act that is determined by the federal food and drug administration to be therapeutically equivalent to an approved 505(b) biological product and is included in the 505(b) list maintained by the pharmacy quality assurance commission pursuant to section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ind w:left="0" w:right="0" w:firstLine="360"/>
        <w:jc w:val="both"/>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ind w:left="0" w:right="0" w:firstLine="360"/>
        <w:jc w:val="both"/>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ind w:left="0" w:right="0" w:firstLine="360"/>
        <w:jc w:val="both"/>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ind w:left="0" w:right="0" w:firstLine="360"/>
        <w:jc w:val="both"/>
      </w:pPr>
      <w:r>
        <w:rPr>
          <w:u w:val="single"/>
        </w:rPr>
        <w:t xml:space="preserve">(3)</w:t>
      </w:r>
      <w:r>
        <w:rPr/>
        <w:t xml:space="preserve"> The pharmacist shall note the manufacturer of the drug dispensed on the file copy of a written or oral prescription.</w:t>
      </w:r>
    </w:p>
    <w:p>
      <w:pPr>
        <w:ind w:left="0" w:right="0" w:firstLine="360"/>
        <w:jc w:val="both"/>
      </w:pPr>
      <w:r>
        <w:rPr>
          <w:u w:val="single"/>
        </w:rPr>
        <w:t xml:space="preserve">(4) The pharmacist shall retain the file copy of a written or oral prescription for the same period of time specified in RCW 18.64.245 for retention of prescription records.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ind w:left="0" w:right="0" w:firstLine="360"/>
        <w:jc w:val="both"/>
      </w:pPr>
      <w:r>
        <w:rPr/>
        <w:t xml:space="preserve">(a) An interoperable electronic medical records system;</w:t>
      </w:r>
    </w:p>
    <w:p>
      <w:pPr>
        <w:ind w:left="0" w:right="0" w:firstLine="360"/>
        <w:jc w:val="both"/>
      </w:pPr>
      <w:r>
        <w:rPr/>
        <w:t xml:space="preserve">(b) An electronic prescribing technology;</w:t>
      </w:r>
    </w:p>
    <w:p>
      <w:pPr>
        <w:ind w:left="0" w:right="0" w:firstLine="360"/>
        <w:jc w:val="both"/>
      </w:pPr>
      <w:r>
        <w:rPr/>
        <w:t xml:space="preserve">(c) A pharmacy benefit management system; or</w:t>
      </w:r>
    </w:p>
    <w:p>
      <w:pPr>
        <w:ind w:left="0" w:right="0" w:firstLine="360"/>
        <w:jc w:val="both"/>
      </w:pPr>
      <w:r>
        <w:rPr/>
        <w:t xml:space="preserve">(d) A pharmacy record.</w:t>
      </w:r>
    </w:p>
    <w:p>
      <w:pPr>
        <w:ind w:left="0" w:right="0" w:firstLine="360"/>
        <w:jc w:val="both"/>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ind w:left="0" w:right="0" w:firstLine="360"/>
        <w:jc w:val="both"/>
      </w:pPr>
      <w:r>
        <w:rPr/>
        <w:t xml:space="preserve">(3) No entry or communication pursuant to this section is required if:</w:t>
      </w:r>
    </w:p>
    <w:p>
      <w:pPr>
        <w:ind w:left="0" w:right="0" w:firstLine="360"/>
        <w:jc w:val="both"/>
      </w:pPr>
      <w:r>
        <w:rPr/>
        <w:t xml:space="preserve">(a) There is no interchangeable biological product for the product prescribed;</w:t>
      </w:r>
    </w:p>
    <w:p>
      <w:pPr>
        <w:ind w:left="0" w:right="0" w:firstLine="360"/>
        <w:jc w:val="both"/>
      </w:pPr>
      <w:r>
        <w:rPr/>
        <w:t xml:space="preserve">(b) A refill prescription is not changed from the product dispensed on the prior filling of the prescription; or</w:t>
      </w:r>
    </w:p>
    <w:p>
      <w:pPr>
        <w:ind w:left="0" w:right="0" w:firstLine="360"/>
        <w:jc w:val="both"/>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ind w:left="0" w:right="0" w:firstLine="360"/>
        <w:jc w:val="both"/>
      </w:pPr>
      <w:r>
        <w:rPr/>
        <w:t xml:space="preserve">(4) This section expires August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The pharmacy quality assurance commission shall maintain a link on its web site to the current list of all biological products determined by the federal food and drug administration as interchangeable. The commission shall maintain a list of all biological products approved as therapeutically equivalent by the federal food and drug administration through the approval process specified in 505(b) of the federal food, drug, and cosmetic act. The commission shall make the 505(b) list accessible to pharmacies.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ind w:left="0" w:right="0" w:firstLine="360"/>
        <w:jc w:val="both"/>
      </w:pPr>
      <w:r>
        <w:rPr/>
        <w:t xml:space="preserve">(1) A practitioner who authorizes a prescribed drug shall not be liable for any side effects or adverse reactions caused by the manner or method by which a substituted drug product is selected or dispensed.</w:t>
      </w:r>
    </w:p>
    <w:p>
      <w:pPr>
        <w:ind w:left="0" w:right="0" w:firstLine="360"/>
        <w:jc w:val="both"/>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ind w:left="0" w:right="0" w:firstLine="360"/>
        <w:jc w:val="both"/>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ind w:left="0" w:right="0" w:firstLine="360"/>
        <w:jc w:val="both"/>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ind w:left="0" w:right="0" w:firstLine="360"/>
        <w:jc w:val="both"/>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f9c893f0074763" /></Relationships>
</file>