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655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5337">
            <w:t>6166.E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53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5337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5337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5337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55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5337">
            <w:rPr>
              <w:b/>
              <w:u w:val="single"/>
            </w:rPr>
            <w:t>ESB 6166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53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933</w:t>
          </w:r>
        </w:sdtContent>
      </w:sdt>
    </w:p>
    <w:p w:rsidR="00DF5D0E" w:rsidP="00605C39" w:rsidRDefault="00C6551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5337"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53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D45153" w:rsidP="00C8108C" w:rsidRDefault="00DE256E">
      <w:pPr>
        <w:pStyle w:val="Page"/>
      </w:pPr>
      <w:bookmarkStart w:name="StartOfAmendmentBody" w:id="1"/>
      <w:bookmarkEnd w:id="1"/>
      <w:permStart w:edGrp="everyone" w:id="1904700259"/>
      <w:r>
        <w:tab/>
      </w:r>
      <w:r w:rsidR="000F2E59">
        <w:t>On page 5, after lin</w:t>
      </w:r>
      <w:r w:rsidR="00D45153">
        <w:t>e 27, insert the following:</w:t>
      </w:r>
    </w:p>
    <w:p w:rsidR="00575337" w:rsidP="00D45153" w:rsidRDefault="00D45153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</w:t>
      </w:r>
      <w:r>
        <w:t xml:space="preserve">  A new section is added to chapter 19.285 RCW to read as follows:</w:t>
      </w:r>
      <w:r w:rsidR="000F2E59">
        <w:t xml:space="preserve"> </w:t>
      </w:r>
    </w:p>
    <w:p w:rsidR="00D45153" w:rsidP="00D45153" w:rsidRDefault="00D45153">
      <w:pPr>
        <w:pStyle w:val="RCWSLText"/>
      </w:pPr>
      <w:r>
        <w:tab/>
        <w:t>In addition to the resources included in the definition of eligible resource under RCW 19.285.030(12), the following resource shall be considered an eligible renewable resource for the purposes of this chapter:</w:t>
      </w:r>
    </w:p>
    <w:p w:rsidR="00D45153" w:rsidP="00D45153" w:rsidRDefault="00970736">
      <w:pPr>
        <w:pStyle w:val="RCWSLText"/>
      </w:pPr>
      <w:r>
        <w:tab/>
        <w:t xml:space="preserve">(1) </w:t>
      </w:r>
      <w:r w:rsidR="00D45153">
        <w:t>Incremental electricity produced as a result of a capital investment completed after March 31, 1999, that increases, relative to a baseline level of generation prior to the capital investment, the amount of electricity generated in a generation facility, which commences operation after September 1, 1991, that is powered by the combustion of solid waste in a municipally owned energy recovery facility located on a business park owned and operated under the provisions of chapter 14.08 RCW, when:  (A) The facility's air emissions do not exceed permitted levels estab</w:t>
      </w:r>
      <w:r>
        <w:t xml:space="preserve">lished under RCW 70.94.161; </w:t>
      </w:r>
      <w:r w:rsidR="00D45153">
        <w:t>(B) periodic monitoring includes third-party verification documenting total polychlorinated biphenyl air emissions not exceeding a level that could contribute to increased polychlorinated biphenyl levels in local water bodies</w:t>
      </w:r>
      <w:r>
        <w:t>; and (C) t</w:t>
      </w:r>
      <w:r w:rsidR="00D45153">
        <w:t xml:space="preserve">he facility </w:t>
      </w:r>
      <w:r>
        <w:t>can</w:t>
      </w:r>
      <w:r w:rsidR="00D45153">
        <w:t xml:space="preserve"> demonstrate through direct or calculated measurement that the incremental electricity resulted from the capital investment, which does not include expenditures on operation and maintenance in the normal course of business.</w:t>
      </w:r>
    </w:p>
    <w:p w:rsidRPr="00D45153" w:rsidR="00D45153" w:rsidP="00D45153" w:rsidRDefault="00D45153">
      <w:pPr>
        <w:pStyle w:val="RCWSLText"/>
      </w:pPr>
      <w:r>
        <w:tab/>
        <w:t>(</w:t>
      </w:r>
      <w:r w:rsidR="00970736">
        <w:t>2</w:t>
      </w:r>
      <w:r>
        <w:t xml:space="preserve">) For the purposes of this </w:t>
      </w:r>
      <w:r w:rsidR="00970736">
        <w:t>section</w:t>
      </w:r>
      <w:r>
        <w:t xml:space="preserve">, "energy recovery" has the same meaning as defined in RCW 70.95.030 and "solid waste" has the same meaning as defined in RCW 70.95.030." </w:t>
      </w:r>
    </w:p>
    <w:p w:rsidR="00DF5D0E" w:rsidP="00575337" w:rsidRDefault="00DF5D0E">
      <w:pPr>
        <w:suppressLineNumbers/>
        <w:rPr>
          <w:spacing w:val="-3"/>
        </w:rPr>
      </w:pPr>
    </w:p>
    <w:p w:rsidR="00D45153" w:rsidP="00575337" w:rsidRDefault="00D45153">
      <w:pPr>
        <w:suppressLineNumbers/>
        <w:rPr>
          <w:spacing w:val="-3"/>
        </w:rPr>
      </w:pPr>
    </w:p>
    <w:p w:rsidRPr="00575337" w:rsidR="00D45153" w:rsidP="00575337" w:rsidRDefault="00D45153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ermEnd w:id="1904700259"/>
    <w:p w:rsidR="00ED2EEB" w:rsidP="005753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0852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53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53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45153" w:rsidR="00D45153">
                  <w:t xml:space="preserve">Establishes as an eligible renewable resource </w:t>
                </w:r>
                <w:r w:rsidR="00D45153">
                  <w:t>for the purposes of</w:t>
                </w:r>
                <w:r w:rsidRPr="00D45153" w:rsidR="00D45153">
                  <w:t xml:space="preserve"> the Energy Independence Act incremental electricity produced as a result of a capital investment completed after March 31, 1999, in a generation facility, which commences operation after September 1, 1991, that is powered by the combustion of solid waste in a municipally owned energy recovery facility located on a business park, under certain conditions.</w:t>
                </w:r>
                <w:r w:rsidRPr="0096303F" w:rsidR="001C1B27">
                  <w:t> </w:t>
                </w:r>
              </w:p>
              <w:p w:rsidRPr="007D1589" w:rsidR="001B4E53" w:rsidP="005753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0852147"/>
    </w:tbl>
    <w:p w:rsidR="00DF5D0E" w:rsidP="00575337" w:rsidRDefault="00DF5D0E">
      <w:pPr>
        <w:pStyle w:val="BillEnd"/>
        <w:suppressLineNumbers/>
      </w:pPr>
    </w:p>
    <w:p w:rsidR="00DF5D0E" w:rsidP="005753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53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37" w:rsidRDefault="00575337" w:rsidP="00DF5D0E">
      <w:r>
        <w:separator/>
      </w:r>
    </w:p>
  </w:endnote>
  <w:endnote w:type="continuationSeparator" w:id="0">
    <w:p w:rsidR="00575337" w:rsidRDefault="005753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7" w:rsidRDefault="00072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55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6166.E AMH RICC HUGH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57BE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55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6166.E AMH RICC HUGH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37" w:rsidRDefault="00575337" w:rsidP="00DF5D0E">
      <w:r>
        <w:separator/>
      </w:r>
    </w:p>
  </w:footnote>
  <w:footnote w:type="continuationSeparator" w:id="0">
    <w:p w:rsidR="00575337" w:rsidRDefault="005753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7" w:rsidRDefault="00072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2847"/>
    <w:rsid w:val="00096165"/>
    <w:rsid w:val="000C6C82"/>
    <w:rsid w:val="000E603A"/>
    <w:rsid w:val="000F2E59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26C9"/>
    <w:rsid w:val="00492DDC"/>
    <w:rsid w:val="004C6615"/>
    <w:rsid w:val="004E21F0"/>
    <w:rsid w:val="00523C5A"/>
    <w:rsid w:val="0057533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33F3"/>
    <w:rsid w:val="0096303F"/>
    <w:rsid w:val="0097073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551B"/>
    <w:rsid w:val="00C8108C"/>
    <w:rsid w:val="00D40447"/>
    <w:rsid w:val="00D45153"/>
    <w:rsid w:val="00D659AC"/>
    <w:rsid w:val="00DA47F3"/>
    <w:rsid w:val="00DC2C13"/>
    <w:rsid w:val="00DE256E"/>
    <w:rsid w:val="00DF5D0E"/>
    <w:rsid w:val="00E1471A"/>
    <w:rsid w:val="00E267B1"/>
    <w:rsid w:val="00E2773F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2D6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6166.E</BillDocName>
  <AmendType>AMH</AmendType>
  <SponsorAcronym>RICC</SponsorAcronym>
  <DrafterAcronym>HUGH</DrafterAcronym>
  <DraftNumber>102</DraftNumber>
  <ReferenceNumber>ESB 6166</ReferenceNumber>
  <Floor>H AMD</Floor>
  <AmendmentNumber> 933</AmendmentNumber>
  <Sponsors>By Representative Riccelli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2</Pages>
  <Words>337</Words>
  <Characters>1858</Characters>
  <Application>Microsoft Office Word</Application>
  <DocSecurity>8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6166.E AMH RICC HUGH 102</vt:lpstr>
    </vt:vector>
  </TitlesOfParts>
  <Company>Washington State Legislature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6166.E AMH RICC HUGH 102</dc:title>
  <dc:creator>Nikkole Hughes</dc:creator>
  <cp:lastModifiedBy>Hughes, Nikkole</cp:lastModifiedBy>
  <cp:revision>10</cp:revision>
  <cp:lastPrinted>2016-03-04T21:59:00Z</cp:lastPrinted>
  <dcterms:created xsi:type="dcterms:W3CDTF">2016-03-04T20:17:00Z</dcterms:created>
  <dcterms:modified xsi:type="dcterms:W3CDTF">2016-03-04T21:59:00Z</dcterms:modified>
</cp:coreProperties>
</file>