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28e44a3b490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GREG</w:t>
        </w:r>
      </w:r>
      <w:r>
        <w:rPr>
          <w:b/>
        </w:rPr>
        <w:t xml:space="preserve"> </w:t>
        <w:r>
          <w:rPr/>
          <w:t xml:space="preserve">H4738.1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Gregerson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28 of the amendment, after "</w:t>
      </w:r>
      <w:r>
        <w:rPr>
          <w:u w:val="single"/>
        </w:rPr>
        <w:t xml:space="preserve">allocated</w:t>
      </w:r>
      <w:r>
        <w:rPr/>
        <w:t xml:space="preserve">" strike all material through "</w:t>
      </w:r>
      <w:r>
        <w:rPr>
          <w:u w:val="single"/>
        </w:rPr>
        <w:t xml:space="preserve">state</w:t>
      </w:r>
      <w:r>
        <w:rPr/>
        <w:t xml:space="preserve">" on line 32 and insert "</w:t>
      </w:r>
      <w:r>
        <w:rPr>
          <w:u w:val="single"/>
        </w:rPr>
        <w:t xml:space="preserve">to at-risk students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Requires, if capacity is insufficient to enroll all students who apply to a charter school, that the charter school, after granting an enrollment preference to siblings of students, allocate any remaining enrollments to at-risk students rather than through a lottery.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a provision in the underlying amendment authorizing a charter school to offer a weighted enrollment preference for at-risk students or to children of full-time employees of the school if the children reside within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cb0412279499c" /></Relationships>
</file>