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b01a872d241ed"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KILD</w:t>
        </w:r>
      </w:r>
      <w:r>
        <w:rPr>
          <w:b/>
        </w:rPr>
        <w:t xml:space="preserve"> </w:t>
        <w:r>
          <w:rPr/>
          <w:t xml:space="preserve">H4723.2</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AMD TO H AMD (H-4714.2/16)</w:t>
      </w:r>
      <w:r>
        <w:t xml:space="preserve"> </w:t>
      </w:r>
      <w:r>
        <w:rPr>
          <w:b/>
        </w:rPr>
        <w:t xml:space="preserve">970</w:t>
      </w:r>
    </w:p>
    <w:p>
      <w:pPr>
        <w:spacing w:before="0" w:after="0" w:line="408" w:lineRule="exact"/>
        <w:ind w:left="0" w:right="0" w:firstLine="576"/>
        <w:jc w:val="left"/>
      </w:pPr>
      <w:r>
        <w:rPr/>
        <w:t xml:space="preserve">By Representative Kilduff</w:t>
      </w:r>
    </w:p>
    <w:p>
      <w:pPr>
        <w:jc w:val="right"/>
      </w:pPr>
      <w:r>
        <w:rPr>
          <w:b/>
        </w:rPr>
        <w:t xml:space="preserve">ADOPTED 03/09/2016</w:t>
      </w:r>
    </w:p>
    <w:p>
      <w:pPr>
        <w:spacing w:before="0" w:after="0" w:line="408" w:lineRule="exact"/>
        <w:ind w:left="0" w:right="0" w:firstLine="576"/>
        <w:jc w:val="left"/>
      </w:pPr>
      <w:r>
        <w:rPr/>
        <w:t xml:space="preserve">On page 4, after line 27 of the amendment, insert the following:</w:t>
      </w:r>
    </w:p>
    <w:p>
      <w:pPr>
        <w:spacing w:before="0" w:after="0" w:line="408" w:lineRule="exact"/>
        <w:ind w:left="0" w:right="0" w:firstLine="576"/>
        <w:jc w:val="left"/>
      </w:pPr>
      <w:r>
        <w:rPr/>
        <w:t xml:space="preserve">"</w:t>
      </w:r>
      <w:r>
        <w:rPr>
          <w:u w:val="single"/>
        </w:rPr>
        <w:t xml:space="preserve">(4) A charter school board, through web site postings and written notice with receipt acknowledged by signature of the recipient, must advise families of new, ongoing, and prospective students of any ongoing litigation challenging the constitutionality of charter schools or that may require charter schools to cease operations.</w:t>
      </w:r>
      <w:r>
        <w:rPr/>
        <w:t xml:space="preserve">"</w:t>
      </w:r>
    </w:p>
    <w:p>
      <w:pPr>
        <w:spacing w:before="0" w:after="0" w:line="408" w:lineRule="exact"/>
        <w:ind w:left="0" w:right="0" w:firstLine="576"/>
        <w:jc w:val="left"/>
      </w:pPr>
      <w:r>
        <w:rPr/>
        <w:t xml:space="preserve">On page 20, line 35 of the amendment, after "Authorizers" strike "may" and insert "</w:t>
      </w:r>
      <w:r>
        <w:t>((</w:t>
      </w:r>
      <w:r>
        <w:rPr>
          <w:strike/>
        </w:rPr>
        <w:t xml:space="preserve">may</w:t>
      </w:r>
      <w:r>
        <w:t>))</w:t>
      </w:r>
      <w:r>
        <w:rPr/>
        <w:t xml:space="preserve"> </w:t>
      </w:r>
      <w:r>
        <w:rPr>
          <w:u w:val="single"/>
        </w:rPr>
        <w:t xml:space="preserve">shall</w:t>
      </w:r>
      <w:r>
        <w:rPr/>
        <w:t xml:space="preserve">"</w:t>
      </w:r>
    </w:p>
    <w:p>
      <w:pPr>
        <w:spacing w:before="0" w:after="0" w:line="408" w:lineRule="exact"/>
        <w:ind w:left="0" w:right="0" w:firstLine="576"/>
        <w:jc w:val="left"/>
      </w:pPr>
      <w:r>
        <w:rPr>
          <w:u w:val="single"/>
        </w:rPr>
        <w:t xml:space="preserve">EFFECT:</w:t>
      </w:r>
      <w:r>
        <w:rPr/>
        <w:t xml:space="preserve"> Requires charter school boards, through web site postings and written notice, to advise families of new, ongoing, and prospective students of any ongoing litigation challenging the constitutionality of charter schools or that may require charter schools to cease operations.</w:t>
      </w:r>
    </w:p>
    <w:p>
      <w:pPr>
        <w:spacing w:before="0" w:after="0" w:line="408" w:lineRule="exact"/>
        <w:ind w:left="0" w:right="0" w:firstLine="576"/>
        <w:jc w:val="left"/>
      </w:pPr>
      <w:r>
        <w:rPr/>
        <w:t xml:space="preserve">Requires authorizers to establish (rather than allows authorizers to establish) reasonable preopening requirements or conditions to monitor the start-up progress of newly approved charter schools, ensure that they are prepared to open smoothly on the date agreed, and ensure that each school meets specified requirements for school opening.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3c7ff2127d4696" /></Relationships>
</file>