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ae44c713846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ORTI</w:t>
        </w:r>
      </w:r>
      <w:r>
        <w:rPr>
          <w:b/>
        </w:rPr>
        <w:t xml:space="preserve"> </w:t>
        <w:r>
          <w:rPr/>
          <w:t xml:space="preserve">H4746.1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Ortiz-Self</w:t>
      </w:r>
    </w:p>
    <w:p>
      <w:pPr>
        <w:jc w:val="right"/>
      </w:pPr>
      <w:r>
        <w:rPr>
          <w:b/>
        </w:rPr>
        <w:t xml:space="preserve">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after line 8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129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710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Members of the commission must file personal financial affairs statements with the public disclosure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Members of a charter school board must file personal financial affairs statements with the public disclosure commission."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members of the Washington state Charter School Commission and members of charter school boards file personal financial affairs statements with the Public Disclosure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b53f000a14967" /></Relationships>
</file>