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b72dc70bf4082"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BAIL</w:t>
        </w:r>
      </w:r>
      <w:r>
        <w:rPr>
          <w:b/>
        </w:rPr>
        <w:t xml:space="preserve"> </w:t>
        <w:r>
          <w:rPr/>
          <w:t xml:space="preserve">S3166.1</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 TO S AMD (S-3163.1/15)</w:t>
      </w:r>
      <w:r>
        <w:t xml:space="preserve"> </w:t>
      </w:r>
      <w:r>
        <w:rPr>
          <w:b/>
        </w:rPr>
        <w:t xml:space="preserve">464</w:t>
      </w:r>
    </w:p>
    <w:p>
      <w:pPr>
        <w:ind w:left="0" w:right="0" w:firstLine="360"/>
        <w:jc w:val="both"/>
      </w:pPr>
      <w:r>
        <w:rPr/>
        <w:t xml:space="preserve">By Senator Bailey</w:t>
      </w:r>
    </w:p>
    <w:p>
      <w:pPr>
        <w:jc w:val="right"/>
      </w:pPr>
      <w:r>
        <w:rPr>
          <w:b/>
        </w:rPr>
        <w:t xml:space="preserve">ADOPTED 4/24/2015</w:t>
      </w:r>
    </w:p>
    <w:p>
      <w:pPr>
        <w:ind w:left="0" w:right="0" w:firstLine="360"/>
        <w:jc w:val="both"/>
      </w:pPr>
      <w:r>
        <w:rPr/>
        <w:t xml:space="preserve">On page 40, after line 28 of the amendment,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To the extent practicable and consistent with RCW 88.46.180, 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 The department must coordinate evaluation and update planning requirements under this section with requirements under RCW 88.46.180 to eliminate duplication."</w:t>
      </w:r>
    </w:p>
    <w:p>
      <w:pPr>
        <w:ind w:left="0" w:right="0" w:firstLine="360"/>
        <w:jc w:val="both"/>
      </w:pPr>
      <w:r>
        <w:rPr/>
        <w:t xml:space="preserve">Renumber the remaining sections consecutively and correct any internal references accordingly.</w:t>
      </w:r>
    </w:p>
    <w:p>
      <w:pPr>
        <w:ind w:left="0" w:right="0" w:firstLine="360"/>
        <w:jc w:val="both"/>
      </w:pPr>
      <w:r>
        <w:rPr>
          <w:u w:val="single"/>
        </w:rPr>
        <w:t xml:space="preserve">EFFECT:</w:t>
      </w:r>
      <w:r>
        <w:rPr/>
        <w:t xml:space="preserve"> Authorizes the department of ecology to periodically evaluate and update planning standards for oil spill response equipment as required for contingency planning, in coordination with updates to vessel oil spill prevention and response planning.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b1d066779458c" /></Relationships>
</file>