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316a40c61409a" /></Relationships>
</file>

<file path=word/document.xml><?xml version="1.0" encoding="utf-8"?>
<w:document xmlns:w="http://schemas.openxmlformats.org/wordprocessingml/2006/main">
  <w:body>
    <w:p>
      <w:r>
        <w:rPr>
          <w:b/>
        </w:rPr>
        <w:r>
          <w:rPr/>
          <w:t xml:space="preserve">1671-S.E</w:t>
        </w:r>
      </w:r>
      <w:r>
        <w:rPr>
          <w:b/>
        </w:rPr>
        <w:t xml:space="preserve"> </w:t>
        <w:t xml:space="preserve">AMS</w:t>
      </w:r>
      <w:r>
        <w:rPr>
          <w:b/>
        </w:rPr>
        <w:t xml:space="preserve"> </w:t>
        <w:r>
          <w:rPr/>
          <w:t xml:space="preserve">HLTH</w:t>
        </w:r>
      </w:r>
      <w:r>
        <w:rPr>
          <w:b/>
        </w:rPr>
        <w:t xml:space="preserve"> </w:t>
        <w:r>
          <w:rPr/>
          <w:t xml:space="preserve">S2893.1</w:t>
        </w:r>
      </w:r>
      <w:r>
        <w:rPr>
          <w:b/>
        </w:rPr>
        <w:t xml:space="preserve"> - NOT FOR FLOOR USE</w:t>
      </w:r>
    </w:p>
    <w:p>
      <w:pPr>
        <w:spacing w:before="480" w:after="0" w:line="408" w:lineRule="exact"/>
      </w:pPr>
      <w:r>
        <w:rPr>
          <w:b/>
          <w:u w:val="single"/>
        </w:rPr>
        <w:t xml:space="preserve">ESHB 1671</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ind w:left="0" w:right="0" w:firstLine="360"/>
        <w:jc w:val="both"/>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ind w:left="0" w:right="0" w:firstLine="360"/>
        <w:jc w:val="both"/>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ind w:left="0" w:right="0" w:firstLine="360"/>
        <w:jc w:val="both"/>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ind w:left="0" w:right="0" w:firstLine="360"/>
        <w:jc w:val="both"/>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ind w:left="0" w:right="0" w:firstLine="360"/>
        <w:jc w:val="both"/>
      </w:pPr>
      <w:r>
        <w:rPr/>
        <w:t xml:space="preserve">(2) A pharmacist may dispense an opioid overdose medication pursuant to a prescription issued in accordance with this section and may administer an opioid overdose medication to a person at risk of experiencing an opioid-related overdose. At the time of dispensing an opioid overdose medication, a pharmacist shall provide written instructions on the proper response to an opioid-related overdose, including instructions for seeking immediate medical attention.</w:t>
      </w:r>
    </w:p>
    <w:p>
      <w:pPr>
        <w:ind w:left="0" w:right="0" w:firstLine="360"/>
        <w:jc w:val="both"/>
      </w:pPr>
      <w:r>
        <w:rPr/>
        <w:t xml:space="preserve">(3) Any person or entity may lawfully possess, store, deliver, distribute, or administer an opioid overdose medication pursuant to a prescription or order issued by a practitioner in accordance with this section.</w:t>
      </w:r>
    </w:p>
    <w:p>
      <w:pPr>
        <w:ind w:left="0" w:right="0" w:firstLine="360"/>
        <w:jc w:val="both"/>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ind w:left="0" w:right="0" w:firstLine="360"/>
        <w:jc w:val="both"/>
      </w:pPr>
      <w:r>
        <w:rPr/>
        <w:t xml:space="preserve">(a) A practitioner who prescribes, dispenses, distributes, or delivers an opioid overdose medication pursuant to subsection (1) of this section;</w:t>
      </w:r>
    </w:p>
    <w:p>
      <w:pPr>
        <w:ind w:left="0" w:right="0" w:firstLine="360"/>
        <w:jc w:val="both"/>
      </w:pPr>
      <w:r>
        <w:rPr/>
        <w:t xml:space="preserve">(b) A pharmacist who dispenses an opioid overdose medication pursuant to subsection (2) of this section;</w:t>
      </w:r>
    </w:p>
    <w:p>
      <w:pPr>
        <w:ind w:left="0" w:right="0" w:firstLine="360"/>
        <w:jc w:val="both"/>
      </w:pPr>
      <w:r>
        <w:rPr/>
        <w:t xml:space="preserve">(c) A person who possesses, stores, distributes, or administers an opioid overdose medication pursuant to subsection (3) of this section.</w:t>
      </w:r>
    </w:p>
    <w:p>
      <w:pPr>
        <w:ind w:left="0" w:right="0" w:firstLine="360"/>
        <w:jc w:val="both"/>
      </w:pPr>
      <w:r>
        <w:rPr/>
        <w:t xml:space="preserve">(5) For purposes of this section, the following terms have the following meanings unless the context clearly requires otherwise:</w:t>
      </w:r>
    </w:p>
    <w:p>
      <w:pPr>
        <w:ind w:left="0" w:right="0" w:firstLine="360"/>
        <w:jc w:val="both"/>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ind w:left="0" w:right="0" w:firstLine="360"/>
        <w:jc w:val="both"/>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ind w:left="0" w:right="0" w:firstLine="360"/>
        <w:jc w:val="both"/>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ind w:left="0" w:right="0" w:firstLine="360"/>
        <w:jc w:val="both"/>
      </w:pPr>
      <w:r>
        <w:rPr/>
        <w:t xml:space="preserve">(d) "Practitioner" means a health care practitioner who is authorized under RCW 69.41.030 to prescribe legend drugs.</w:t>
      </w:r>
    </w:p>
    <w:p>
      <w:pPr>
        <w:ind w:left="0" w:right="0" w:firstLine="360"/>
        <w:jc w:val="both"/>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ind w:left="0" w:right="0" w:firstLine="360"/>
        <w:jc w:val="both"/>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ind w:left="0" w:right="0" w:firstLine="360"/>
        <w:jc w:val="both"/>
      </w:pPr>
      <w:r>
        <w:rPr/>
        <w:t xml:space="preserve">(2) A violation of this section is a class B felony punishable according to chapter 9A.20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ind w:left="0" w:right="0" w:firstLine="360"/>
        <w:jc w:val="both"/>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ind w:left="0" w:right="0" w:firstLine="360"/>
        <w:jc w:val="both"/>
      </w:pPr>
      <w:r>
        <w:t>((</w:t>
      </w:r>
      <w:r>
        <w:rPr>
          <w:strike/>
        </w:rPr>
        <w:t xml:space="preserve">(b) A person acting in good faith may receive a naloxone prescription, possess naloxone, and administer naloxone to an individual suffering from an apparent opiate-related overdose.</w:t>
      </w:r>
      <w:r>
        <w:t>))</w:t>
      </w:r>
    </w:p>
    <w:p>
      <w:pPr>
        <w:ind w:left="0" w:right="0" w:firstLine="360"/>
        <w:jc w:val="both"/>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ind w:left="0" w:right="0" w:firstLine="360"/>
        <w:jc w:val="both"/>
      </w:pPr>
      <w:r>
        <w:rPr/>
        <w:t xml:space="preserve">(3) The protection in this section from prosecution for possession crimes under RCW 69.50.4013 shall not be grounds for suppression of evidence in other criminal charges.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opioid addiction is established, with members as provided in this subsection.</w:t>
      </w:r>
    </w:p>
    <w:p>
      <w:pPr>
        <w:ind w:left="0" w:right="0" w:firstLine="360"/>
        <w:jc w:val="both"/>
      </w:pPr>
      <w:r>
        <w:rPr/>
        <w:t xml:space="preserve">(i) The secretary of the senate shall appoint two members from each of the two largest caucuses of the senate;</w:t>
      </w:r>
    </w:p>
    <w:p>
      <w:pPr>
        <w:ind w:left="0" w:right="0" w:firstLine="360"/>
        <w:jc w:val="both"/>
      </w:pPr>
      <w:r>
        <w:rPr/>
        <w:t xml:space="preserve">(ii) The speaker of the house of representatives shall appoint two members from each of the two largest caucuses of the house of representatives;</w:t>
      </w:r>
    </w:p>
    <w:p>
      <w:pPr>
        <w:ind w:left="0" w:right="0" w:firstLine="360"/>
        <w:jc w:val="both"/>
      </w:pPr>
      <w:r>
        <w:rPr/>
        <w:t xml:space="preserve">(iii) The secretary of the senate and the speaker of the house of representatives shall appoint two members of the public who have experience or training relating to opioid addiction issues, this may include a person or persons with personal or family experience relating to opioid addiction;</w:t>
      </w:r>
    </w:p>
    <w:p>
      <w:pPr>
        <w:ind w:left="0" w:right="0" w:firstLine="360"/>
        <w:jc w:val="both"/>
      </w:pPr>
      <w:r>
        <w:rPr/>
        <w:t xml:space="preserve">(iv) The governor shall appoint one member from the department of social and health services' behavioral health services integration administration;</w:t>
      </w:r>
    </w:p>
    <w:p>
      <w:pPr>
        <w:ind w:left="0" w:right="0" w:firstLine="360"/>
        <w:jc w:val="both"/>
      </w:pPr>
      <w:r>
        <w:rPr/>
        <w:t xml:space="preserve">(v) The governor shall appoint one member from the University of Washington's alcohol and drug abuse institute; and</w:t>
      </w:r>
    </w:p>
    <w:p>
      <w:pPr>
        <w:ind w:left="0" w:right="0" w:firstLine="360"/>
        <w:jc w:val="both"/>
      </w:pPr>
      <w:r>
        <w:rPr/>
        <w:t xml:space="preserve">(vi) The governor shall appoint one member from the division of secondary education within the office of the superintendent of public instruction.</w:t>
      </w:r>
    </w:p>
    <w:p>
      <w:pPr>
        <w:ind w:left="0" w:right="0" w:firstLine="360"/>
        <w:jc w:val="both"/>
      </w:pPr>
      <w:r>
        <w:rPr/>
        <w:t xml:space="preserve">(b) The task force shall choose its chair or cochairs from among its legislative membership. The person appointed to represent the department of social and health services' behavioral health services integration administration shall convene the initial meeting of the task force. </w:t>
      </w:r>
    </w:p>
    <w:p>
      <w:pPr>
        <w:ind w:left="0" w:right="0" w:firstLine="360"/>
        <w:jc w:val="both"/>
      </w:pPr>
      <w:r>
        <w:rPr/>
        <w:t xml:space="preserve">(2) The task force shall review the following:</w:t>
      </w:r>
    </w:p>
    <w:p>
      <w:pPr>
        <w:ind w:left="0" w:right="0" w:firstLine="360"/>
        <w:jc w:val="both"/>
      </w:pPr>
      <w:r>
        <w:rPr/>
        <w:t xml:space="preserve">(a) Ways to increase access to opioid antagonists to prevent opioid-related overdose deaths throughout the state;</w:t>
      </w:r>
    </w:p>
    <w:p>
      <w:pPr>
        <w:ind w:left="0" w:right="0" w:firstLine="360"/>
        <w:jc w:val="both"/>
      </w:pPr>
      <w:r>
        <w:rPr/>
        <w:t xml:space="preserve">(b) Issues related to addiction, including causes of addiction, stigma related to addiction, and access to treatment for addiction; </w:t>
      </w:r>
    </w:p>
    <w:p>
      <w:pPr>
        <w:ind w:left="0" w:right="0" w:firstLine="360"/>
        <w:jc w:val="both"/>
      </w:pPr>
      <w:r>
        <w:rPr/>
        <w:t xml:space="preserve">(c) Educational efforts to reduce and to ultimately end minor use of opioids; and</w:t>
      </w:r>
    </w:p>
    <w:p>
      <w:pPr>
        <w:ind w:left="0" w:right="0" w:firstLine="360"/>
        <w:jc w:val="both"/>
      </w:pPr>
      <w:r>
        <w:rPr/>
        <w:t xml:space="preserve">(d) Other addiction issues deemed appropriate by the task force.</w:t>
      </w:r>
    </w:p>
    <w:p>
      <w:pPr>
        <w:ind w:left="0" w:right="0" w:firstLine="360"/>
        <w:jc w:val="both"/>
      </w:pPr>
      <w:r>
        <w:rPr/>
        <w:t xml:space="preserve">(3) Staff support for the task force must be provided by the senate committee services and the house of representatives office of program research.</w:t>
      </w:r>
    </w:p>
    <w:p>
      <w:pPr>
        <w:ind w:left="0" w:right="0" w:firstLine="360"/>
        <w:jc w:val="both"/>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ind w:left="0" w:right="0" w:firstLine="360"/>
        <w:jc w:val="both"/>
      </w:pPr>
      <w:r>
        <w:rPr/>
        <w:t xml:space="preserve">(6) This section expires August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r>
        <w:rPr/>
        <w:t xml:space="preserve">"</w:t>
      </w:r>
    </w:p>
    <w:p>
      <w:pPr>
        <w:spacing w:before="480" w:after="0" w:line="408" w:lineRule="exact"/>
      </w:pPr>
      <w:r>
        <w:rPr>
          <w:b/>
          <w:u w:val="single"/>
        </w:rPr>
        <w:t xml:space="preserve">ESHB 1671</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4/8/2015</w:t>
      </w:r>
    </w:p>
    <w:p>
      <w:pPr>
        <w:ind w:left="0" w:right="0" w:firstLine="360"/>
        <w:jc w:val="both"/>
      </w:pPr>
      <w:r>
        <w:rPr/>
        <w:t xml:space="preserve">On page 1, line 2 of the title, after "deaths;" strike the remainder of the title and insert "amending RCW 69.41.040 and 69.50.315; adding a new section to chapter 69.41 RCW; creating new sections; repealing RCW 18.130.345;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5644cb65a498e" /></Relationships>
</file>