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6ff7c53ad4af1" /></Relationships>
</file>

<file path=word/document.xml><?xml version="1.0" encoding="utf-8"?>
<w:document xmlns:w="http://schemas.openxmlformats.org/wordprocessingml/2006/main">
  <w:body>
    <w:p>
      <w:r>
        <w:rPr>
          <w:b/>
        </w:rPr>
        <w:r>
          <w:rPr/>
          <w:t xml:space="preserve">2449-S2</w:t>
        </w:r>
      </w:r>
      <w:r>
        <w:rPr>
          <w:b/>
        </w:rPr>
        <w:t xml:space="preserve"> </w:t>
        <w:t xml:space="preserve">AMS</w:t>
      </w:r>
      <w:r>
        <w:rPr>
          <w:b/>
        </w:rPr>
        <w:t xml:space="preserve"> </w:t>
        <w:r>
          <w:rPr/>
          <w:t xml:space="preserve">ENGR</w:t>
        </w:r>
      </w:r>
      <w:r>
        <w:rPr>
          <w:b/>
        </w:rPr>
        <w:t xml:space="preserve"> </w:t>
        <w:r>
          <w:rPr/>
          <w:t xml:space="preserve">S5152.E</w:t>
        </w:r>
      </w:r>
      <w:r>
        <w:rPr>
          <w:b/>
        </w:rPr>
        <w:t xml:space="preserve"> - NOT FOR FLOOR USE</w:t>
      </w:r>
    </w:p>
    <w:p>
      <w:pPr>
        <w:ind w:left="0" w:right="0" w:firstLine="576"/>
      </w:pPr>
    </w:p>
    <w:p>
      <w:pPr>
        <w:spacing w:before="480" w:after="0" w:line="408" w:lineRule="exact"/>
      </w:pPr>
      <w:r>
        <w:rPr>
          <w:b/>
          <w:u w:val="single"/>
        </w:rPr>
        <w:t xml:space="preserve">2SHB 2449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3/9/2016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poor school attendance can have far-reaching effects on academic performance and achievement, development of social skills and school engagement, dropout rates, and even college completion rates, and that these effects occur regardless of whether excessive absenteeism is considered excused or unexcused or the specific reason or reasons for the absences.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four-pronged approach and providing additional tools to schools, courts, communities, and families, the legislature hopes to reduce excessive absenteeism, strengthen families, engage communities and families with schools, promote academic achievement, reduce educational opportunity gaps, reduce juvenile delinquency, address juveniles' emotional, mental health, and chemical dependency needs,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barriers to school attendance that have led to truancy may be best addressed by juvenile courts, which may refer truant students to a crisis residential center or HOPE center for the provision of services. The legislature further recognizes that even when a truant student is found in contempt of a court order to attend school, it is best practice that the truant student not be placed in juvenile detention but, where feasible and available, instead be placed in a secure crisis residential center. The legislature intends to increase the number of beds in HOPE centers and crisis residential centers in order to facilitate their use for truant students.</w:t>
      </w:r>
    </w:p>
    <w:p>
      <w:pPr>
        <w:spacing w:before="0" w:after="0" w:line="408" w:lineRule="exact"/>
        <w:ind w:left="0" w:right="0" w:firstLine="576"/>
        <w:jc w:val="left"/>
      </w:pPr>
      <w:r>
        <w:rPr/>
        <w:t xml:space="preserve">Fourth, the legislature recognizes that some problematic behaviors that are predictive of truancy and delinquency may be best addressed by appropriate screenings and, where appropriate, temporary provision of home services. The legislature intends to strengthen the juvenile court's ability to seek a chemical dependency or mental health assessment for a child subject to a truancy petition, if the court finds that such an assessment might help to reengage a child in school. The legislature further finds that where family conflict exists or a juvenile's health or safety is in jeopardy due to circumstances in the child's home, referral to a crisis residential center might be appropriate to help achieve family reconciliation.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application of the Washington assessment of the risks and needs of students (WARNS) by a school district's designee under section 6 of this act</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w:t>
      </w:r>
      <w:r>
        <w:rPr>
          <w:u w:val="single"/>
        </w:rPr>
        <w:t xml:space="preserve">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w:t>
      </w:r>
      <w:r>
        <w:rPr>
          <w:u w:val="single"/>
        </w:rPr>
        <w:t xml:space="preserve">established pursuant to a memorandum of understanding between a juvenile court and a school district and</w:t>
      </w:r>
      <w:r>
        <w:rPr/>
        <w:t xml:space="preserve"> composed of members of the local community in which the child attends school. </w:t>
      </w:r>
      <w:r>
        <w:t>((</w:t>
      </w:r>
      <w:r>
        <w:rPr>
          <w:strike/>
        </w:rPr>
        <w:t xml:space="preserve">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culturally appropriate promising practices,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recommending to the juvenile court that a juvenile be referred to a HOPE center or crisis residential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w:t>
      </w:r>
      <w:r>
        <w:rPr>
          <w:u w:val="single"/>
        </w:rPr>
        <w:t xml:space="preserve">as required by RCW 28A.225.020</w:t>
      </w:r>
      <w:r>
        <w:rPr/>
        <w:t xml:space="preserve">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 person or persons to coordinate school district efforts to address excessive absenteeism and truancy, including tasks associated with: Outreach and conferences pursuant to section 3 of this act;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t>((</w:t>
      </w:r>
      <w:r>
        <w:rPr>
          <w:strike/>
        </w:rPr>
        <w:t xml:space="preserve">the juvenile court shall schedule a hearing at which the court shall consider the petition,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 </w:t>
      </w:r>
      <w:r>
        <w:rPr>
          <w:u w:val="single"/>
        </w:rPr>
        <w:t xml:space="preserve">it shall initially be stayed by the juvenile court, and the child and the child's parent must be referred to a community truancy board or other coordinated means of intervention as set forth in the memorandum of understanding under section 6 of this act. The community truancy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(b) If a community truancy board or other coordinated means of intervention is not in place as required by section 6 of this act, the juvenile court shall schedule a hearing at which the court shall consider the petition</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w:t>
      </w:r>
      <w:r>
        <w:rPr>
          <w:u w:val="single"/>
        </w:rPr>
        <w:t xml:space="preserve">within the timeline for completion set by the community truancy board</w:t>
      </w:r>
      <w:r>
        <w:rPr/>
        <w:t xml:space="preserve">, the </w:t>
      </w:r>
      <w:r>
        <w:rPr>
          <w:u w:val="single"/>
        </w:rPr>
        <w:t xml:space="preserve">community</w:t>
      </w:r>
      <w:r>
        <w:rPr/>
        <w:t xml:space="preserve"> truancy board shall return the case to the juvenile court </w:t>
      </w:r>
      <w:r>
        <w:t>((</w:t>
      </w:r>
      <w:r>
        <w:rPr>
          <w:strike/>
        </w:rPr>
        <w:t xml:space="preserve">for a hearing</w:t>
      </w:r>
      <w:r>
        <w:t>))</w:t>
      </w:r>
      <w:r>
        <w:rPr/>
        <w:t xml:space="preserve">. </w:t>
      </w:r>
      <w:r>
        <w:rPr>
          <w:u w:val="single"/>
        </w:rPr>
        <w:t xml:space="preserve">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t>
      </w:r>
      <w:r>
        <w:rPr>
          <w:u w:val="single"/>
        </w:rPr>
        <w:t xml:space="preserve">Such actions may include referral to an existing community truancy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w:t>
      </w:r>
      <w:r>
        <w:rPr/>
        <w:t xml:space="preserve">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or a HOPE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For whom a conference is required under section 3 of this act or who are the subject of a petition under RCW 28A.225.035 to increase regular school attendance and eliminate truancy</w:t>
      </w:r>
      <w:r>
        <w:rPr/>
        <w:t xml:space="preserve">.</w:t>
      </w:r>
    </w:p>
    <w:p>
      <w:pPr>
        <w:spacing w:before="0" w:after="0" w:line="408" w:lineRule="exact"/>
        <w:ind w:left="0" w:right="0" w:firstLine="576"/>
        <w:jc w:val="left"/>
      </w:pPr>
      <w:r>
        <w:rPr>
          <w:u w:val="single"/>
        </w:rPr>
        <w:t xml:space="preserve">(3) For purposes of this chapter, "disruptive behaviors in the classroom" includes excessive absenteeism and truancy.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school efforts to address excessive absenteeism and truancy as described in section 3 of this act and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A community truancy board or other coordinated means of intervention as provided in section 6 of this act is considered a best practice under this section.</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community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take effect September 1, 2016."</w:t>
      </w:r>
    </w:p>
    <w:p>
      <w:pPr>
        <w:spacing w:before="480" w:after="0" w:line="408" w:lineRule="exact"/>
      </w:pPr>
      <w:r>
        <w:rPr>
          <w:b/>
          <w:u w:val="single"/>
        </w:rPr>
        <w:t xml:space="preserve">2SHB 2449</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3/9/2016</w:t>
      </w:r>
    </w:p>
    <w:p>
      <w:pPr>
        <w:spacing w:before="0" w:after="0" w:line="408" w:lineRule="exact"/>
        <w:ind w:left="0" w:right="0" w:firstLine="576"/>
        <w:jc w:val="left"/>
      </w:pPr>
      <w:r>
        <w:rPr/>
        <w:t xml:space="preserve">On page 1, line 2 of the title, after "truancy;" strike the remainder of the title and insert "amending RCW 28A.225.005, 28A.225.020, 28A.225.025, 28A.225.030, 28A.225.035, 28A.225.090, 43.185C.315, 43.185C.320, 28A.165.005, 28A.165.035, and 28A.655.235; adding new sections to chapter 28A.225 RCW; adding a new section to chapter 43.185C RCW; adding a new section to chapter 43.330 RCW; adding a new section to chapter 2.56 RCW; creating new sections;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1c3228afa64b37" /></Relationships>
</file>