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e80908bb547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2511-S.E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S5088.1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2511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03/04/2016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18, strike all of section 2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For children ages sixty months through six years, the child's school enrollment status may not be used as a reason to require the child be placed within a specific mixed-age group. Nothing in this section changes or requires the department to change the staff-to-child ratio requirements for mixed-age groups that include children who are ages thirty months through six years."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that licensed child care centers may serve children enrolled in kindergarten in a mixed group or classroom, excluding classrooms which serve infants not walking independently and the requirement that the Department of Early Learning (DEL) adopt rules by November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Adds language that school enrollment status may not be used as a reason to require the child be placed within a specific mixed-age group for five and six-year-old children.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Specifies that nothing changes or requires DEL to change the staff-to-child ratio requirements for mixed-age groups that include children ages 30 months through six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310d969b44522" /></Relationships>
</file>