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22cf91e264463c" /></Relationships>
</file>

<file path=word/document.xml><?xml version="1.0" encoding="utf-8"?>
<w:document xmlns:w="http://schemas.openxmlformats.org/wordprocessingml/2006/main">
  <w:body>
    <w:p>
      <w:r>
        <w:rPr>
          <w:b/>
        </w:rPr>
        <w:r>
          <w:rPr/>
          <w:t xml:space="preserve">2847-S.E</w:t>
        </w:r>
      </w:r>
      <w:r>
        <w:rPr>
          <w:b/>
        </w:rPr>
        <w:t xml:space="preserve"> </w:t>
        <w:t xml:space="preserve">AMS</w:t>
      </w:r>
      <w:r>
        <w:rPr>
          <w:b/>
        </w:rPr>
        <w:t xml:space="preserve"> </w:t>
        <w:r>
          <w:rPr/>
          <w:t xml:space="preserve">EET</w:t>
        </w:r>
      </w:r>
      <w:r>
        <w:rPr>
          <w:b/>
        </w:rPr>
        <w:t xml:space="preserve"> </w:t>
        <w:r>
          <w:rPr/>
          <w:t xml:space="preserve">S4863.1</w:t>
        </w:r>
      </w:r>
      <w:r>
        <w:rPr>
          <w:b/>
        </w:rPr>
        <w:t xml:space="preserve"> - NOT FOR FLOOR USE</w:t>
      </w:r>
    </w:p>
    <w:p>
      <w:pPr>
        <w:ind w:left="0" w:right="0" w:firstLine="576"/>
      </w:pPr>
      <w:r>
        <w:rPr/>
        <w:t xml:space="preserve"> </w:t>
      </w:r>
    </w:p>
    <w:p>
      <w:pPr>
        <w:spacing w:before="480" w:after="0" w:line="408" w:lineRule="exact"/>
      </w:pPr>
      <w:r>
        <w:rPr>
          <w:b/>
          <w:u w:val="single"/>
        </w:rPr>
        <w:t xml:space="preserve">ESHB 2847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Telecommunications</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w:t>
      </w:r>
      <w:r>
        <w:t>((</w:t>
      </w:r>
      <w:r>
        <w:rPr>
          <w:strike/>
        </w:rPr>
        <w:t xml:space="preserve">shall</w:t>
      </w:r>
      <w:r>
        <w:t>))</w:t>
      </w:r>
      <w:r>
        <w:rPr/>
        <w:t xml:space="preserve"> mean</w:t>
      </w:r>
      <w:r>
        <w:rPr>
          <w:u w:val="single"/>
        </w:rPr>
        <w:t xml:space="preserve">s</w:t>
      </w:r>
      <w:r>
        <w:rPr/>
        <w:t xml:space="preserve">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w:t>
      </w:r>
      <w:r>
        <w:t>((</w:t>
      </w:r>
      <w:r>
        <w:rPr>
          <w:strike/>
        </w:rPr>
        <w:t xml:space="preserve">shall</w:t>
      </w:r>
      <w:r>
        <w:t>))</w:t>
      </w:r>
      <w:r>
        <w:rPr/>
        <w:t xml:space="preserve"> mean</w:t>
      </w:r>
      <w:r>
        <w:rPr>
          <w:u w:val="single"/>
        </w:rPr>
        <w:t xml:space="preserve">s</w:t>
      </w:r>
      <w:r>
        <w:rPr/>
        <w:t xml:space="preserve">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r>
        <w:rPr>
          <w:u w:val="single"/>
        </w:rPr>
        <w:t xml:space="preserve">;</w:t>
      </w:r>
    </w:p>
    <w:p>
      <w:pPr>
        <w:spacing w:before="0" w:after="0" w:line="408" w:lineRule="exact"/>
        <w:ind w:left="0" w:right="0" w:firstLine="576"/>
        <w:jc w:val="left"/>
      </w:pPr>
      <w:r>
        <w:rPr>
          <w:u w:val="single"/>
        </w:rPr>
        <w:t xml:space="preserve">(xiii) The external or internal retrofitting of an existing structure with the exclusive purpose of compliance with the Americans with disabilities act of 1990 (42 U.S.C. Sec. 12101 et seq.) or to otherwise provide physical access to the structure by individuals with disabilities</w:t>
      </w:r>
      <w:r>
        <w:rPr/>
        <w:t xml:space="preserve">."</w:t>
      </w:r>
    </w:p>
    <w:p>
      <w:pPr>
        <w:spacing w:before="480" w:after="0" w:line="408" w:lineRule="exact"/>
      </w:pPr>
      <w:r>
        <w:rPr>
          <w:b/>
          <w:u w:val="single"/>
        </w:rPr>
        <w:t xml:space="preserve">ESHB 2847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Telecommunications</w:t>
      </w:r>
    </w:p>
    <w:p>
      <w:pPr>
        <w:jc w:val="right"/>
      </w:pPr>
      <w:r>
        <w:rPr>
          <w:b/>
        </w:rPr>
        <w:t xml:space="preserve">ADOPTED 03/02/2016</w:t>
      </w:r>
    </w:p>
    <w:p>
      <w:pPr>
        <w:spacing w:before="0" w:after="0" w:line="408" w:lineRule="exact"/>
        <w:ind w:left="0" w:right="0" w:firstLine="576"/>
        <w:jc w:val="left"/>
      </w:pPr>
      <w:r>
        <w:rPr/>
        <w:t xml:space="preserve">On page 1, line 4 of the title, after "disabilities;" strike the remainder of the title and insert "and amending RCW 90.58.030."</w:t>
      </w:r>
    </w:p>
    <w:p>
      <w:pPr>
        <w:spacing w:before="0" w:after="0" w:line="408" w:lineRule="exact"/>
        <w:ind w:left="0" w:right="0" w:firstLine="576"/>
        <w:jc w:val="left"/>
      </w:pPr>
      <w:r>
        <w:rPr>
          <w:u w:val="single"/>
        </w:rPr>
        <w:t xml:space="preserve">EFFECT:</w:t>
      </w:r>
      <w:r>
        <w:rPr/>
        <w:t xml:space="preserve"> Exempts the retrofitting of existing "structures" for the exclusive purpose of complying with the Americans with disabilities act from the definition of substantial development, rather than the retrofitting of existing "buildings" for the same purpose.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1d4fada288497d" /></Relationships>
</file>