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f0e24f74d4d7c" /></Relationships>
</file>

<file path=word/document.xml><?xml version="1.0" encoding="utf-8"?>
<w:document xmlns:w="http://schemas.openxmlformats.org/wordprocessingml/2006/main">
  <w:body>
    <w:p>
      <w:r>
        <w:rPr>
          <w:b/>
        </w:rPr>
        <w:r>
          <w:rPr/>
          <w:t xml:space="preserve">5579-S</w:t>
        </w:r>
      </w:r>
      <w:r>
        <w:rPr>
          <w:b/>
        </w:rPr>
        <w:t xml:space="preserve"> </w:t>
        <w:t xml:space="preserve">AMS</w:t>
      </w:r>
      <w:r>
        <w:rPr>
          <w:b/>
        </w:rPr>
        <w:t xml:space="preserve"> </w:t>
        <w:r>
          <w:rPr/>
          <w:t xml:space="preserve">DAMM</w:t>
        </w:r>
      </w:r>
      <w:r>
        <w:rPr>
          <w:b/>
        </w:rPr>
        <w:t xml:space="preserve"> </w:t>
        <w:r>
          <w:rPr/>
          <w:t xml:space="preserve">S2593.2</w:t>
        </w:r>
      </w:r>
      <w:r>
        <w:rPr>
          <w:b/>
        </w:rPr>
        <w:t xml:space="preserve"> - NOT FOR FLOOR USE</w:t>
      </w: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278</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w:t>
      </w:r>
      <w:r>
        <w:rPr>
          <w:u w:val="single"/>
        </w:rPr>
        <w:t xml:space="preserve">A transfer of a firearm between armed private security guards licensed under RCW 18.170.040, a transfer of a firearm between the owner of the firearm and an armed private security guard licensed under RCW 18.170.040, or a transfer of a firearm between a person being trained to be a licensed armed private security guard under the supervision of a certified firearms instructor, to the extent they are acting within the course and scope of their employment or official duties. For the purposes of this subsection (4)(f), "owner of the firearm" means a private security company licensed under RCW 18.170.060 that is required to own or lease the firearm under RCW 18.170.050;</w:t>
      </w:r>
    </w:p>
    <w:p>
      <w:pPr>
        <w:spacing w:before="0" w:after="0" w:line="408" w:lineRule="exact"/>
        <w:ind w:left="0" w:right="0" w:firstLine="576"/>
        <w:jc w:val="left"/>
      </w:pP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278</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On page 1, line 2 of the title, after "requirements;" strike the remainder of the title and insert "and amending RCW 9.41.113."</w:t>
      </w:r>
    </w:p>
    <w:p>
      <w:pPr>
        <w:spacing w:before="0" w:after="0" w:line="408" w:lineRule="exact"/>
        <w:ind w:left="0" w:right="0" w:firstLine="576"/>
        <w:jc w:val="left"/>
      </w:pPr>
      <w:r>
        <w:rPr>
          <w:u w:val="single"/>
        </w:rPr>
        <w:t xml:space="preserve">EFFECT:</w:t>
      </w:r>
      <w:r>
        <w:rPr/>
        <w:t xml:space="preserve"> Only transfers between licensed armed private security guards and the owner of the firearm is exempt from the background check requirement, to the extent they are acting within the course and scope of their employment or official duties. Owner of the firearm is defined as a private security company licensed under RCW 18.170.060 that is required to own or lease the firearm under RCW 18.170.050.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3fd525c5941bb" /></Relationships>
</file>