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c6e6923d946fa" /></Relationships>
</file>

<file path=word/document.xml><?xml version="1.0" encoding="utf-8"?>
<w:document xmlns:w="http://schemas.openxmlformats.org/wordprocessingml/2006/main">
  <w:body>
    <w:p>
      <w:r>
        <w:rPr>
          <w:b/>
        </w:rPr>
        <w:r>
          <w:rPr/>
          <w:t xml:space="preserve">6089.E</w:t>
        </w:r>
      </w:r>
      <w:r>
        <w:rPr>
          <w:b/>
        </w:rPr>
        <w:t xml:space="preserve"> </w:t>
        <w:t xml:space="preserve">AMS</w:t>
      </w:r>
      <w:r>
        <w:rPr>
          <w:b/>
        </w:rPr>
        <w:t xml:space="preserve"> </w:t>
        <w:r>
          <w:rPr/>
          <w:t xml:space="preserve">BECK</w:t>
        </w:r>
      </w:r>
      <w:r>
        <w:rPr>
          <w:b/>
        </w:rPr>
        <w:t xml:space="preserve"> </w:t>
        <w:r>
          <w:rPr/>
          <w:t xml:space="preserve">S3352.1</w:t>
        </w:r>
      </w:r>
      <w:r>
        <w:rPr>
          <w:b/>
        </w:rPr>
        <w:t xml:space="preserve"> - NOT FOR FLOOR USE</w:t>
      </w:r>
    </w:p>
    <w:p>
      <w:pPr>
        <w:ind w:left="0" w:right="0" w:firstLine="576"/>
      </w:pPr>
    </w:p>
    <w:p>
      <w:pPr>
        <w:spacing w:before="480" w:after="0" w:line="408" w:lineRule="exact"/>
      </w:pPr>
      <w:r>
        <w:rPr>
          <w:b/>
          <w:u w:val="single"/>
        </w:rPr>
        <w:t xml:space="preserve">ESB 6089</w:t>
      </w:r>
      <w:r>
        <w:t xml:space="preserve"> -</w:t>
      </w:r>
      <w:r>
        <w:t xml:space="preserve"> </w:t>
        <w:t xml:space="preserve">S AMD</w:t>
      </w:r>
      <w:r>
        <w:t xml:space="preserve"> </w:t>
      </w:r>
      <w:r>
        <w:rPr>
          <w:b/>
        </w:rPr>
        <w:t xml:space="preserve">485</w:t>
      </w:r>
    </w:p>
    <w:p>
      <w:pPr>
        <w:ind w:left="0" w:right="0" w:firstLine="360"/>
        <w:jc w:val="both"/>
      </w:pPr>
      <w:r>
        <w:rPr/>
        <w:t xml:space="preserve">By Senator Becker</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ind w:left="0" w:right="0" w:firstLine="360"/>
        <w:jc w:val="both"/>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complete other duties necessary to begin open enrollment in qualified health plans through the exchange beginning October 1, 2013.</w:t>
      </w:r>
    </w:p>
    <w:p>
      <w:pPr>
        <w:ind w:left="0" w:right="0" w:firstLine="360"/>
        <w:jc w:val="both"/>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ind w:left="0" w:right="0" w:firstLine="360"/>
        <w:jc w:val="both"/>
      </w:pPr>
      <w:r>
        <w:rPr/>
        <w:t xml:space="preserve">(3) The board shall establish policies that permit city and county governments, Indian tribes, tribal organizations, urban Indian organizations, private foundations, and other entities to pay premiums on behalf of qualified individuals.</w:t>
      </w:r>
    </w:p>
    <w:p>
      <w:pPr>
        <w:ind w:left="0" w:right="0" w:firstLine="360"/>
        <w:jc w:val="both"/>
      </w:pPr>
      <w:r>
        <w:rPr/>
        <w:t xml:space="preserve">(4) The employees of the exchange may participate in the public employees' retirement system under chapter 41.40 RCW and the public employees' benefits board under chapter 41.05 RCW.</w:t>
      </w:r>
    </w:p>
    <w:p>
      <w:pPr>
        <w:ind w:left="0" w:right="0" w:firstLine="360"/>
        <w:jc w:val="both"/>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ind w:left="0" w:right="0" w:firstLine="360"/>
        <w:jc w:val="both"/>
      </w:pPr>
      <w:r>
        <w:rPr/>
        <w:t xml:space="preserve">(6) The exchange shall report its activities and status to the governor and the legislature as requested, and no less often than annually.</w:t>
      </w:r>
    </w:p>
    <w:p>
      <w:pPr>
        <w:ind w:left="0" w:right="0" w:firstLine="360"/>
        <w:jc w:val="both"/>
      </w:pPr>
      <w:r>
        <w:rPr>
          <w:u w:val="single"/>
        </w:rPr>
        <w:t xml:space="preserve">(7) By January 1, 2016, the exchange must submit to the legislature, the governor's office, and the board a five-year spending plan that identifies potential reductions in exchange per member per month spending below the per member per month levels based on a calculation from the 2015-2017 biennium appropriation. The report must identify specific reductions in spending in the following areas: Call center, information technology, and staffing. The exchange must provide annual updates on the reduction identified in the spending plan.</w:t>
      </w:r>
    </w:p>
    <w:p>
      <w:pPr>
        <w:ind w:left="0" w:right="0" w:firstLine="360"/>
        <w:jc w:val="both"/>
      </w:pPr>
      <w:r>
        <w:rPr>
          <w:u w:val="singl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ind w:left="0" w:right="0" w:firstLine="360"/>
        <w:jc w:val="both"/>
      </w:pPr>
      <w:r>
        <w:rPr>
          <w:u w:val="singl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ind w:left="0" w:right="0" w:firstLine="360"/>
        <w:jc w:val="both"/>
      </w:pPr>
      <w:r>
        <w:rPr>
          <w:u w:val="single"/>
        </w:rPr>
        <w:t xml:space="preserve">(10)(a)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ind w:left="0" w:right="0" w:firstLine="360"/>
        <w:jc w:val="both"/>
      </w:pPr>
      <w:r>
        <w:rPr>
          <w:u w:val="single"/>
        </w:rPr>
        <w:t xml:space="preserve">(i) Comprehensive five-year and ten-year plans for the exchange's direction with clearly defined outcomes and goals;</w:t>
      </w:r>
    </w:p>
    <w:p>
      <w:pPr>
        <w:ind w:left="0" w:right="0" w:firstLine="360"/>
        <w:jc w:val="both"/>
      </w:pPr>
      <w:r>
        <w:rPr>
          <w:u w:val="single"/>
        </w:rPr>
        <w:t xml:space="preserve">(ii) Concrete plans for achieving or surpassing desired outcomes and goals;</w:t>
      </w:r>
    </w:p>
    <w:p>
      <w:pPr>
        <w:ind w:left="0" w:right="0" w:firstLine="360"/>
        <w:jc w:val="both"/>
      </w:pPr>
      <w:r>
        <w:rPr>
          <w:u w:val="single"/>
        </w:rPr>
        <w:t xml:space="preserve">(iii) Strategy for achieving enrollment and reenrollment targets;</w:t>
      </w:r>
    </w:p>
    <w:p>
      <w:pPr>
        <w:ind w:left="0" w:right="0" w:firstLine="360"/>
        <w:jc w:val="both"/>
      </w:pPr>
      <w:r>
        <w:rPr>
          <w:u w:val="single"/>
        </w:rPr>
        <w:t xml:space="preserve">(iv) Detailed stakeholder and external communication plans;</w:t>
      </w:r>
    </w:p>
    <w:p>
      <w:pPr>
        <w:ind w:left="0" w:right="0" w:firstLine="360"/>
        <w:jc w:val="both"/>
      </w:pPr>
      <w:r>
        <w:rPr>
          <w:u w:val="single"/>
        </w:rPr>
        <w:t xml:space="preserve">(v) Identification of funding sources, and a plan for how it will fund and allocate resources to pursue desired goals and outcomes; and</w:t>
      </w:r>
    </w:p>
    <w:p>
      <w:pPr>
        <w:ind w:left="0" w:right="0" w:firstLine="360"/>
        <w:jc w:val="both"/>
      </w:pPr>
      <w:r>
        <w:rPr>
          <w:u w:val="single"/>
        </w:rPr>
        <w:t xml:space="preserve">(vi) A detailed report including:</w:t>
      </w:r>
    </w:p>
    <w:p>
      <w:pPr>
        <w:ind w:left="0" w:right="0" w:firstLine="360"/>
        <w:jc w:val="both"/>
      </w:pPr>
      <w:r>
        <w:rPr>
          <w:u w:val="single"/>
        </w:rPr>
        <w:t xml:space="preserve">(A) Salaries of all current employees of the exchange, including starting salary, any increases received, and the basis for any increases;</w:t>
      </w:r>
    </w:p>
    <w:p>
      <w:pPr>
        <w:ind w:left="0" w:right="0" w:firstLine="360"/>
        <w:jc w:val="both"/>
      </w:pPr>
      <w:r>
        <w:rPr>
          <w:u w:val="single"/>
        </w:rPr>
        <w:t xml:space="preserve">(B) Salary, overtime, and compensation policies for staff of the exchange;</w:t>
      </w:r>
    </w:p>
    <w:p>
      <w:pPr>
        <w:ind w:left="0" w:right="0" w:firstLine="360"/>
        <w:jc w:val="both"/>
      </w:pPr>
      <w:r>
        <w:rPr>
          <w:u w:val="single"/>
        </w:rPr>
        <w:t xml:space="preserve">(C) A report of all expenses;</w:t>
      </w:r>
    </w:p>
    <w:p>
      <w:pPr>
        <w:ind w:left="0" w:right="0" w:firstLine="360"/>
        <w:jc w:val="both"/>
      </w:pPr>
      <w:r>
        <w:rPr>
          <w:u w:val="single"/>
        </w:rPr>
        <w:t xml:space="preserve">(D) Beginning and ending fund balances, by fund source;</w:t>
      </w:r>
    </w:p>
    <w:p>
      <w:pPr>
        <w:ind w:left="0" w:right="0" w:firstLine="360"/>
        <w:jc w:val="both"/>
      </w:pPr>
      <w:r>
        <w:rPr>
          <w:u w:val="single"/>
        </w:rPr>
        <w:t xml:space="preserve">(E) Any contracts or contract amendments signed by the exchange; and</w:t>
      </w:r>
    </w:p>
    <w:p>
      <w:pPr>
        <w:ind w:left="0" w:right="0" w:firstLine="360"/>
        <w:jc w:val="both"/>
      </w:pPr>
      <w:r>
        <w:rPr>
          <w:u w:val="single"/>
        </w:rPr>
        <w:t xml:space="preserve">(F) An accounting of staff required to operate the exchange broken out by full-time equivalent positions, contracted employees, temporary staff, and any other relevant designation that indicates the staffing level of the exchange.</w:t>
      </w:r>
    </w:p>
    <w:p>
      <w:pPr>
        <w:ind w:left="0" w:right="0" w:firstLine="360"/>
        <w:jc w:val="both"/>
      </w:pPr>
      <w:r>
        <w:rPr>
          <w:u w:val="single"/>
        </w:rPr>
        <w:t xml:space="preserve">(b) The strategic plan and its updates must be submitted to the authority, the appropriate committees of the legislature, and the board by September 30th of each year beginning September 30, 2015; the report of expenses for items identified in (a)(vi)(C) through (F) of this subsection must be submitted to the appropriate committees of the legislature and the board on a quarterly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ind w:left="0" w:right="0" w:firstLine="360"/>
        <w:jc w:val="both"/>
      </w:pPr>
      <w:r>
        <w:rPr/>
        <w:t xml:space="preserve">As part of eligibility verification responsibilities, the exchange shall verify that a person seeking to enroll in a qualified health plan or qualified dental plan during a special enrollment period has experienced a qualifying event as established by the office of the insurance commissioner and shall require reasonable proof or documentation of the qualifying event.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090</w:t>
      </w:r>
      <w:r>
        <w:rPr/>
        <w:t xml:space="preserve"> and 2014 c 84 s 1 are each amended to read as follows:</w:t>
      </w:r>
    </w:p>
    <w:p>
      <w:pPr>
        <w:ind w:left="0" w:right="0" w:firstLine="360"/>
        <w:jc w:val="both"/>
      </w:pPr>
      <w:r>
        <w:rPr/>
        <w:t xml:space="preserve">(1) The exchange must support the grace period by providing electronic information to an issuer of a qualified health plan or a qualified dental plan that complies with 45 C.F.R. Sec. 156.270 (2013) and 45 C.F.R. Sec. 155.430 (2013).</w:t>
      </w:r>
    </w:p>
    <w:p>
      <w:pPr>
        <w:ind w:left="0" w:right="0" w:firstLine="360"/>
        <w:jc w:val="both"/>
      </w:pPr>
      <w:r>
        <w:rPr/>
        <w:t xml:space="preserve">(2) If the health benefit exchange notifies an enrollee that he or she is delinquent on payment of premium, the notice must include information on how to report a change in income or circumstances and an explanation that such a report may result in a change in the premium amount or program eligibility.</w:t>
      </w:r>
    </w:p>
    <w:p>
      <w:pPr>
        <w:ind w:left="0" w:right="0" w:firstLine="360"/>
        <w:jc w:val="both"/>
      </w:pPr>
      <w:r>
        <w:rPr>
          <w:u w:val="single"/>
        </w:rPr>
        <w:t xml:space="preserve">(3) The exchange shall perform eligibility checks on enrollees who are in the grace period to determine eligibility for medicaid.  The exchange, in collaboration with the health care authority, shall conduct outreach to eligible individuals with information regarding medicaid.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ind w:left="0" w:right="0" w:firstLine="360"/>
        <w:jc w:val="both"/>
      </w:pPr>
      <w:r>
        <w:rPr/>
        <w:t xml:space="preserve">(1) For an enrollee who is in the second or third month of the grace period, an issuer of a qualified health plan shall:</w:t>
      </w:r>
    </w:p>
    <w:p>
      <w:pPr>
        <w:ind w:left="0" w:right="0" w:firstLine="360"/>
        <w:jc w:val="both"/>
      </w:pPr>
      <w:r>
        <w:rPr/>
        <w:t xml:space="preserve">(a) Upon request by a health care provider or health care facility, provide information regarding the enrollee's eligibility status in real-time; </w:t>
      </w:r>
      <w:r>
        <w:t>((</w:t>
      </w:r>
      <w:r>
        <w:rPr>
          <w:strike/>
        </w:rPr>
        <w:t xml:space="preserve">and</w:t>
      </w:r>
      <w:r>
        <w:t>))</w:t>
      </w:r>
    </w:p>
    <w:p>
      <w:pPr>
        <w:ind w:left="0" w:right="0" w:firstLine="360"/>
        <w:jc w:val="both"/>
      </w:pPr>
      <w:r>
        <w:rPr/>
        <w:t xml:space="preserve">(b) Notify a health care provider or health care facility that an enrollee is in the grace period within three business days after submittal of a claim or status request for services provided</w:t>
      </w:r>
      <w:r>
        <w:rPr>
          <w:u w:val="single"/>
        </w:rPr>
        <w:t xml:space="preserve">; and</w:t>
      </w:r>
    </w:p>
    <w:p>
      <w:pPr>
        <w:ind w:left="0" w:right="0" w:firstLine="360"/>
        <w:jc w:val="both"/>
      </w:pPr>
      <w:r>
        <w:rPr>
          <w:u w:val="single"/>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r>
        <w:rPr/>
        <w:t xml:space="preserve">.</w:t>
      </w:r>
    </w:p>
    <w:p>
      <w:pPr>
        <w:ind w:left="0" w:right="0" w:firstLine="360"/>
        <w:jc w:val="both"/>
      </w:pPr>
      <w:r>
        <w:rPr/>
        <w:t xml:space="preserve">(2) The information or notification required under subsection (1) of this section must, at a minimum:</w:t>
      </w:r>
    </w:p>
    <w:p>
      <w:pPr>
        <w:ind w:left="0" w:right="0" w:firstLine="360"/>
        <w:jc w:val="both"/>
      </w:pPr>
      <w:r>
        <w:rPr/>
        <w:t xml:space="preserve">(a) Indicate "grace period" or use the appropriate national coding standard as the reason for pending the claim if a claim is pended due to the enrollee's grace period status; and</w:t>
      </w:r>
    </w:p>
    <w:p>
      <w:pPr>
        <w:ind w:left="0" w:right="0" w:firstLine="360"/>
        <w:jc w:val="both"/>
      </w:pPr>
      <w:r>
        <w:rPr/>
        <w:t xml:space="preserve">(b) Except for notifications provided electronically, indicate that enrollee is in the second or third month of the grace period.</w:t>
      </w:r>
    </w:p>
    <w:p>
      <w:pPr>
        <w:ind w:left="0" w:right="0" w:firstLine="360"/>
        <w:jc w:val="both"/>
      </w:pPr>
      <w:r>
        <w:rPr/>
        <w:t xml:space="preserve">(3) </w:t>
      </w:r>
      <w:r>
        <w:rPr>
          <w:u w:val="single"/>
        </w:rPr>
        <w:t xml:space="preserve">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ind w:left="0" w:right="0" w:firstLine="360"/>
        <w:jc w:val="both"/>
      </w:pPr>
      <w:r>
        <w:rPr>
          <w:u w:val="single"/>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and</w:t>
      </w:r>
    </w:p>
    <w:p>
      <w:pPr>
        <w:ind w:left="0" w:right="0" w:firstLine="360"/>
        <w:jc w:val="both"/>
      </w:pPr>
      <w:r>
        <w:rPr>
          <w:u w:val="single"/>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w:t>
      </w:r>
    </w:p>
    <w:p>
      <w:pPr>
        <w:ind w:left="0" w:right="0" w:firstLine="360"/>
        <w:jc w:val="both"/>
      </w:pPr>
      <w:r>
        <w:rPr>
          <w:u w:val="single"/>
        </w:rPr>
        <w:t xml:space="preserve">(c) For a delinquency notice described in this subsection, the issuer shall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ind w:left="0" w:right="0" w:firstLine="360"/>
        <w:jc w:val="both"/>
      </w:pPr>
      <w:r>
        <w:rPr>
          <w:u w:val="single"/>
        </w:rPr>
        <w:t xml:space="preserve">(4)</w:t>
      </w:r>
      <w:r>
        <w:rPr/>
        <w:t xml:space="preserve">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ind w:left="0" w:right="0" w:firstLine="360"/>
        <w:jc w:val="both"/>
      </w:pPr>
      <w:r>
        <w:t>((</w:t>
      </w:r>
      <w:r>
        <w:rPr>
          <w:strike/>
        </w:rPr>
        <w:t xml:space="preserve">(4)</w:t>
      </w:r>
      <w:r>
        <w:t>))</w:t>
      </w:r>
      <w:r>
        <w:rPr/>
        <w:t xml:space="preserve"> </w:t>
      </w:r>
      <w:r>
        <w:rPr>
          <w:u w:val="single"/>
        </w:rPr>
        <w:t xml:space="preserve">(5) Upon the transfer of premium collection to the qualified health plan, each qualified health plan must provide detailed reports to the exchange to support the legislative reporting requirements.</w:t>
      </w:r>
    </w:p>
    <w:p>
      <w:pPr>
        <w:ind w:left="0" w:right="0" w:firstLine="360"/>
        <w:jc w:val="both"/>
      </w:pPr>
      <w:r>
        <w:rPr>
          <w:u w:val="single"/>
        </w:rPr>
        <w:t xml:space="preserve">(6)</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80" w:after="0" w:line="408" w:lineRule="exact"/>
      </w:pPr>
      <w:r>
        <w:rPr>
          <w:b/>
          <w:u w:val="single"/>
        </w:rPr>
        <w:t xml:space="preserve">ESB 6089</w:t>
      </w:r>
      <w:r>
        <w:t xml:space="preserve"> -</w:t>
      </w:r>
      <w:r>
        <w:t xml:space="preserve"> </w:t>
        <w:t xml:space="preserve">S AMD</w:t>
      </w:r>
      <w:r>
        <w:t xml:space="preserve"> </w:t>
      </w:r>
      <w:r>
        <w:rPr>
          <w:b/>
        </w:rPr>
        <w:t xml:space="preserve">485</w:t>
      </w:r>
    </w:p>
    <w:p>
      <w:pPr>
        <w:ind w:left="0" w:right="0" w:firstLine="360"/>
        <w:jc w:val="both"/>
      </w:pPr>
      <w:r>
        <w:rPr/>
        <w:t xml:space="preserve">By Senator Becker</w:t>
      </w:r>
    </w:p>
    <w:p>
      <w:pPr>
        <w:jc w:val="right"/>
      </w:pPr>
      <w:r>
        <w:rPr>
          <w:b/>
        </w:rPr>
        <w:t xml:space="preserve">ADOPTED 6/28/2015</w:t>
      </w:r>
    </w:p>
    <w:p>
      <w:pPr>
        <w:ind w:left="0" w:right="0" w:firstLine="360"/>
        <w:jc w:val="both"/>
      </w:pPr>
      <w:r>
        <w:rPr/>
        <w:t xml:space="preserve">On page 1, line 1 of the title, after "Relating to" strike the remainder of the title and insert "the health benefit exchange; amending RCW 43.71.030, 43.71.090, and 48.43.039; and adding a new section to chapter 43.71 RCW."</w:t>
      </w:r>
    </w:p>
    <w:p>
      <w:pPr>
        <w:ind w:left="0" w:right="0" w:firstLine="360"/>
        <w:jc w:val="both"/>
      </w:pPr>
      <w:r>
        <w:rPr>
          <w:u w:val="single"/>
        </w:rPr>
        <w:t xml:space="preserve">EFFECT:</w:t>
      </w:r>
      <w:r>
        <w:rPr/>
        <w:t xml:space="preserve"> Additional reporting responsibilities are created for the Health Benefit Exchange including: A five-year spending plan that identifies potential spending reductions; metrics that capture the current spending levels and five-year benchmarks for spending reductions; detail capturing the annual cost of operating per enrollee; and a strategic plan for the development, maintenance, and improvement of Exchange operations that include comprehensive five-year and ten-year plans with defined outcomes and goals, as well as detailed salary and expense reports.</w:t>
      </w:r>
    </w:p>
    <w:p>
      <w:pPr>
        <w:ind w:left="0" w:right="0" w:firstLine="360"/>
        <w:jc w:val="both"/>
      </w:pPr>
      <w:r>
        <w:rPr/>
        <w:t xml:space="preserve">The Exchange must verify qualifying documentation for enrollees seeking special enrollment due to a qualifying event.</w:t>
      </w:r>
    </w:p>
    <w:p>
      <w:pPr>
        <w:ind w:left="0" w:right="0" w:firstLine="360"/>
        <w:jc w:val="both"/>
      </w:pPr>
      <w:r>
        <w:rPr/>
        <w:t xml:space="preserve">Related to the grace period:</w:t>
      </w:r>
    </w:p>
    <w:p>
      <w:pPr>
        <w:ind w:left="0" w:right="0" w:firstLine="360"/>
        <w:jc w:val="both"/>
      </w:pPr>
      <w:r>
        <w:rPr/>
        <w:t xml:space="preserve">The Exchange must check eligibility for enrollees in the grace period to determine if the enrollee may be eligible for Medicaid, and must conduct outreach with Medicaid information;</w:t>
      </w:r>
    </w:p>
    <w:p>
      <w:pPr>
        <w:ind w:left="0" w:right="0" w:firstLine="360"/>
        <w:jc w:val="both"/>
      </w:pPr>
      <w:r>
        <w:rPr/>
        <w:t xml:space="preserve">Health care providers may encourage the enrollee in a grace period to pay delinquent premiums and provide information on the impact of nonpayment of premiums;</w:t>
      </w:r>
    </w:p>
    <w:p>
      <w:pPr>
        <w:ind w:left="0" w:right="0" w:firstLine="360"/>
        <w:jc w:val="both"/>
      </w:pPr>
      <w:r>
        <w:rPr/>
        <w:t xml:space="preserve">Issuers of qualified health plans must include a statement in a delinquency notice explaining the impact of nonpayment of premiums, and include a statement in the termination notice when the grace period is exhausted about other coverage options, and how to report changes in income or circumstances;</w:t>
      </w:r>
    </w:p>
    <w:p>
      <w:pPr>
        <w:ind w:left="0" w:right="0" w:firstLine="360"/>
        <w:jc w:val="both"/>
      </w:pPr>
      <w:r>
        <w:rPr/>
        <w:t xml:space="preserve">Each qualified health plan must provide detailed reports on the grace period data to enable the Exchange to complete reports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502395bf74030" /></Relationships>
</file>