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08435ecf04f23" /></Relationships>
</file>

<file path=word/document.xml><?xml version="1.0" encoding="utf-8"?>
<w:document xmlns:w="http://schemas.openxmlformats.org/wordprocessingml/2006/main">
  <w:body>
    <w:p>
      <w:r>
        <w:t>H-0184.1</w:t>
      </w:r>
    </w:p>
    <w:p>
      <w:pPr>
        <w:jc w:val="center"/>
      </w:pPr>
      <w:r>
        <w:t>_______________________________________________</w:t>
      </w:r>
    </w:p>
    <w:p/>
    <w:p>
      <w:pPr>
        <w:jc w:val="center"/>
      </w:pPr>
      <w:r>
        <w:rPr>
          <w:b/>
        </w:rPr>
        <w:t>HOUSE BILL 1033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Hurst, Kretz, Hayes, Condotta, and Buys</w:t>
      </w:r>
    </w:p>
    <w:p/>
    <w:p>
      <w:r>
        <w:rPr>
          <w:t xml:space="preserve">Prefiled 12/08/14.</w:t>
        </w:rPr>
      </w:r>
      <w:r>
        <w:rPr>
          <w:t xml:space="preserve">Read first time 01/12/15.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for the department of fish and wildlife to use in order to promote access to private lands for hunting; reenacting and amending RCW 70.105D.070, 70.105D.020, and 77.12.170;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any moneys made available to it under RCW 70.105D.070(7) to fund a program designed to assist private landowners in mitigating the damages and expenses incurred due to allowing public access to their lands for hunting. Specifically, the department may enter into agreements with private landowners who agree to allow free access to their land, or to portions of their land, to licensed hunters in exchange for assistance in removing and disposing of litter, garbage, hazardous materials, and other items that can potentially result from allowing public access.</w:t>
      </w:r>
    </w:p>
    <w:p>
      <w:pPr>
        <w:spacing w:before="0" w:after="0" w:line="408" w:lineRule="exact"/>
        <w:ind w:left="0" w:right="0" w:firstLine="576"/>
        <w:jc w:val="left"/>
      </w:pPr>
      <w:r>
        <w:rPr/>
        <w:t xml:space="preserve">(2) The department may use the moneys made available to it under RCW 70.105D.070(7) in the manner deemed by the department as the most efficient in implementing the intent of this section. This may include utilizing department staff, contracting with a third party, providing cash payments to the participating landowner, or utilizing the Washington conservation corps created in chapter 43.220 RCW.</w:t>
      </w:r>
    </w:p>
    <w:p>
      <w:pPr>
        <w:spacing w:before="0" w:after="0" w:line="408" w:lineRule="exact"/>
        <w:ind w:left="0" w:right="0" w:firstLine="576"/>
        <w:jc w:val="left"/>
      </w:pPr>
      <w:r>
        <w:rPr/>
        <w:t xml:space="preserve">(3) Nothing in this section limits the ability of the department to enter into other agreements with private landowners to secure public recreational access with funds other than those provided in RCW 70.105D.070(7).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Activities by the department of fish and wildlife under section 1 of this act</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w:t>
      </w:r>
      <w:r>
        <w:t>))</w:t>
      </w:r>
      <w:r>
        <w:rPr>
          <w:u w:val="single"/>
        </w:rPr>
        <w:t xml:space="preserve">(a) D</w:t>
      </w:r>
      <w:r>
        <w:rPr/>
        <w:t xml:space="preserve">uring </w:t>
      </w:r>
      <w:r>
        <w:t>((</w:t>
      </w:r>
      <w:r>
        <w:rPr>
          <w:strike/>
        </w:rPr>
        <w:t xml:space="preserve">the 2011-2013</w:t>
      </w:r>
      <w:r>
        <w:t>))</w:t>
      </w:r>
      <w:r>
        <w:rPr>
          <w:u w:val="single"/>
        </w:rPr>
        <w:t xml:space="preserve">each</w:t>
      </w:r>
      <w:r>
        <w:rPr/>
        <w:t xml:space="preserve"> fiscal biennium, one percent of the moneys collected under RCW 82.21.030 shall be allocated </w:t>
      </w:r>
      <w:r>
        <w:rPr>
          <w:u w:val="single"/>
        </w:rPr>
        <w:t xml:space="preserve">as follows:</w:t>
      </w:r>
    </w:p>
    <w:p>
      <w:pPr>
        <w:spacing w:before="0" w:after="0" w:line="408" w:lineRule="exact"/>
        <w:ind w:left="0" w:right="0" w:firstLine="576"/>
        <w:jc w:val="left"/>
      </w:pPr>
      <w:r>
        <w:rPr>
          <w:u w:val="single"/>
        </w:rPr>
        <w:t xml:space="preserve">(i) All amounts up to and including the established level may be used</w:t>
      </w:r>
      <w:r>
        <w:rPr/>
        <w:t xml:space="preserve"> only for public participation grants</w:t>
      </w:r>
      <w:r>
        <w:rPr>
          <w:u w:val="single"/>
        </w:rPr>
        <w:t xml:space="preserve">, consistent with this subsection,</w:t>
      </w:r>
      <w:r>
        <w:rPr/>
        <w:t xml:space="preserve"> to persons who may be adversely affected by a release or threatened release of a hazardous substance and to not-for-profit public interest organizations.</w:t>
      </w:r>
    </w:p>
    <w:p>
      <w:pPr>
        <w:spacing w:before="0" w:after="0" w:line="408" w:lineRule="exact"/>
        <w:ind w:left="0" w:right="0" w:firstLine="576"/>
        <w:jc w:val="left"/>
      </w:pPr>
      <w:r>
        <w:rPr>
          <w:u w:val="single"/>
        </w:rPr>
        <w:t xml:space="preserve">(ii) All amounts above the established level, if any, must be transferred to the state wildlife account created in RCW 77.12.170 and used consistent with section 1 of this act.</w:t>
      </w:r>
    </w:p>
    <w:p>
      <w:pPr>
        <w:spacing w:before="0" w:after="0" w:line="408" w:lineRule="exact"/>
        <w:ind w:left="0" w:right="0" w:firstLine="576"/>
        <w:jc w:val="left"/>
      </w:pPr>
      <w:r>
        <w:rPr>
          <w:u w:val="single"/>
        </w:rPr>
        <w:t xml:space="preserve">(b)</w:t>
      </w:r>
      <w:r>
        <w:rPr/>
        <w:t xml:space="preserve"> The primary purpose of </w:t>
      </w:r>
      <w:r>
        <w:t>((</w:t>
      </w:r>
      <w:r>
        <w:rPr>
          <w:strike/>
        </w:rPr>
        <w:t xml:space="preserve">these</w:t>
      </w:r>
      <w:r>
        <w:t>))</w:t>
      </w:r>
      <w:r>
        <w:rPr/>
        <w:t xml:space="preserve"> grants </w:t>
      </w:r>
      <w:r>
        <w:rPr>
          <w:u w:val="single"/>
        </w:rPr>
        <w:t xml:space="preserve">issued under (a)(i) of this subsection</w:t>
      </w:r>
      <w:r>
        <w:rPr/>
        <w:t xml:space="preserve">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and shall not contain a covenant not to sue, or provide protection from claims for contribution, or provide eligibility for public funding of remedial actions under RCW 70.105D.070(3) (k) and (q).</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ecology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amended by Public Law 99-499.</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or any dangerous or extremely dangerous waste designated by rule pursuant to chapter 70.105 RCW;</w:t>
      </w:r>
    </w:p>
    <w:p>
      <w:pPr>
        <w:spacing w:before="0" w:after="0" w:line="408" w:lineRule="exact"/>
        <w:ind w:left="0" w:right="0" w:firstLine="576"/>
        <w:jc w:val="left"/>
      </w:pPr>
      <w:r>
        <w:rPr/>
        <w:t xml:space="preserve">(b) Any hazardous substance as defined in RCW 70.105.010(10) or any hazardous substance as defined by rule pursuant to chapter 70.105 RCW;</w:t>
      </w:r>
    </w:p>
    <w:p>
      <w:pPr>
        <w:spacing w:before="0" w:after="0" w:line="408" w:lineRule="exact"/>
        <w:ind w:left="0" w:right="0" w:firstLine="576"/>
        <w:jc w:val="left"/>
      </w:pPr>
      <w:r>
        <w:rPr/>
        <w:t xml:space="preserve">(c) Any substance that, on March 1, 1989,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brownfield renewal authority created under RCW 70.105D.160.</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0" w:after="0" w:line="408" w:lineRule="exact"/>
        <w:ind w:left="0" w:right="0" w:firstLine="576"/>
        <w:jc w:val="left"/>
      </w:pPr>
      <w:r>
        <w:rPr>
          <w:u w:val="single"/>
        </w:rPr>
        <w:t xml:space="preserve">(36) "Established level" means the dollar amount that represents one percent of the moneys collected under RCW 82.21.030 during the 2011-2013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w:t>
      </w:r>
      <w:r>
        <w:t>((</w:t>
      </w:r>
      <w:r>
        <w:rPr>
          <w:strike/>
        </w:rPr>
        <w:t xml:space="preserve">and</w:t>
      </w:r>
      <w:r>
        <w:t>))</w:t>
      </w:r>
    </w:p>
    <w:p>
      <w:pPr>
        <w:spacing w:before="0" w:after="0" w:line="408" w:lineRule="exact"/>
        <w:ind w:left="0" w:right="0" w:firstLine="576"/>
        <w:jc w:val="left"/>
      </w:pPr>
      <w:r>
        <w:rPr/>
        <w:t xml:space="preserve">(m) Donations received by the director under RCW 77.12.039</w:t>
      </w:r>
      <w:r>
        <w:rPr>
          <w:u w:val="single"/>
        </w:rPr>
        <w:t xml:space="preserve">; and</w:t>
      </w:r>
    </w:p>
    <w:p>
      <w:pPr>
        <w:spacing w:before="0" w:after="0" w:line="408" w:lineRule="exact"/>
        <w:ind w:left="0" w:right="0" w:firstLine="576"/>
        <w:jc w:val="left"/>
      </w:pPr>
      <w:r>
        <w:rPr>
          <w:u w:val="single"/>
        </w:rPr>
        <w:t xml:space="preserve">(n) Transfers directed to the state wildlife account under RCW 70.105D.070 for the purposes of implementing section 1 of this act</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
      <w:pPr>
        <w:jc w:val="center"/>
      </w:pPr>
      <w:r>
        <w:rPr>
          <w:b/>
        </w:rPr>
        <w:t>--- END ---</w:t>
      </w:r>
    </w:p>
    <w:sectPr>
      <w:pgNumType w:start="1"/>
      <w:footerReference xmlns:r="http://schemas.openxmlformats.org/officeDocument/2006/relationships" r:id="R522f4d7a92bb43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05ac57a4147c3" /><Relationship Type="http://schemas.openxmlformats.org/officeDocument/2006/relationships/footer" Target="/word/footer.xml" Id="R522f4d7a92bb43eb" /></Relationships>
</file>