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f1aced5a34adf" /></Relationships>
</file>

<file path=word/document.xml><?xml version="1.0" encoding="utf-8"?>
<w:document xmlns:w="http://schemas.openxmlformats.org/wordprocessingml/2006/main">
  <w:body>
    <w:p>
      <w:r>
        <w:t>H-0585.1</w:t>
      </w:r>
    </w:p>
    <w:p>
      <w:pPr>
        <w:jc w:val="center"/>
      </w:pPr>
      <w:r>
        <w:t>_______________________________________________</w:t>
      </w:r>
    </w:p>
    <w:p/>
    <w:p>
      <w:pPr>
        <w:jc w:val="center"/>
      </w:pPr>
      <w:r>
        <w:rPr>
          <w:b/>
        </w:rPr>
        <w:t>HOUSE BILL 1102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Reykdal, and Buys</w:t>
      </w:r>
    </w:p>
    <w:p/>
    <w:p>
      <w:r>
        <w:rPr>
          <w:t xml:space="preserve">Prefiled 01/09/15.</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local government installing a public sewage system within the public right-of-way under certain circumstances; and amending RCW 70.05.074.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w:t>
      </w:r>
      <w:r>
        <w:rPr>
          <w:u w:val="single"/>
        </w:rPr>
        <w:t xml:space="preserve">If the local health officer denies an application to install an on-site sewage system for an existing single-family residence that would be otherwise approved except for a law, regulation, or ordinance requiring connection to a public sewer system, the local government must install a sewer system within any public right-of-way in order to extend service to the property owner. The property owner of the existing single-family residence is only responsible for the cost of improvements on his or her property and sewer connection fees required to connect to the public sewer system. If the local government does not install a sewer system within the public right-of-way, the local health officer must issue an on-site sewage system permit.</w:t>
      </w:r>
    </w:p>
    <w:p>
      <w:pPr>
        <w:spacing w:before="0" w:after="0" w:line="408" w:lineRule="exact"/>
        <w:ind w:left="0" w:right="0" w:firstLine="576"/>
        <w:jc w:val="left"/>
      </w:pPr>
      <w:r>
        <w:rPr>
          <w:u w:val="single"/>
        </w:rPr>
        <w:t xml:space="preserve">(4)</w:t>
      </w:r>
      <w:r>
        <w:rPr/>
        <w:t xml:space="preserve">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t>((</w:t>
      </w:r>
      <w:r>
        <w:rPr>
          <w:strike/>
        </w:rPr>
        <w:t xml:space="preserve">(4)</w:t>
      </w:r>
      <w:r>
        <w:t>))</w:t>
      </w:r>
      <w:r>
        <w:rPr>
          <w:u w:val="single"/>
        </w:rPr>
        <w:t xml:space="preserve">(5)</w:t>
      </w:r>
      <w:r>
        <w:rPr/>
        <w:t xml:space="preserve">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6d0207cb22d545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d818b11e14673" /><Relationship Type="http://schemas.openxmlformats.org/officeDocument/2006/relationships/footer" Target="/word/footer.xml" Id="R6d0207cb22d54506" /></Relationships>
</file>