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02a4b56be344a1" /></Relationships>
</file>

<file path=word/document.xml><?xml version="1.0" encoding="utf-8"?>
<w:document xmlns:w="http://schemas.openxmlformats.org/wordprocessingml/2006/main">
  <w:body>
    <w:p>
      <w:r>
        <w:t>H-1648.1</w:t>
      </w:r>
    </w:p>
    <w:p>
      <w:pPr>
        <w:jc w:val="center"/>
      </w:pPr>
      <w:r>
        <w:t>_______________________________________________</w:t>
      </w:r>
    </w:p>
    <w:p/>
    <w:p>
      <w:pPr>
        <w:jc w:val="center"/>
      </w:pPr>
      <w:r>
        <w:rPr>
          <w:b/>
        </w:rPr>
        <w:t>SUBSTITUTE HOUSE BILL 1107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Springer, Wilcox, Reykdal, Fitzgibbon, Bergquist, Hudgins, Lytton, McBride, Santos, Jinkins, Appleton, Tarleton, and Walkinshaw)</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and creation of cultural and heritage programs and facilities; amending RCW 84.52.010 and 84.52.010; adding a new section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(1) The legislature finds that:</w:t>
      </w:r>
    </w:p>
    <w:p>
      <w:pPr>
        <w:spacing w:before="0" w:after="0" w:line="408" w:lineRule="exact"/>
        <w:ind w:left="0" w:right="0" w:firstLine="576"/>
        <w:jc w:val="left"/>
      </w:pPr>
      <w:r>
        <w:rPr/>
        <w:t xml:space="preserve">(a) The cultural organizations of the state provide numerous public benefits. Providing support for the state's cultural organizations is in the public interest and will serve multiple public purposes including, among others, enhancing and extending the educational reach and offerings of cultural organizations; ensuring continued and expanded access to the facilities and programs of cultural organizations by economically and geographically underserved populations; and providing financial stability to the organizations to enable them to focus on core missions as well as to continue and extend the numerous public benefits they provide.</w:t>
      </w:r>
    </w:p>
    <w:p>
      <w:pPr>
        <w:spacing w:before="0" w:after="0" w:line="408" w:lineRule="exact"/>
        <w:ind w:left="0" w:right="0" w:firstLine="576"/>
        <w:jc w:val="left"/>
      </w:pPr>
      <w:r>
        <w:rPr/>
        <w:t xml:space="preserve">(b) Economic impact studies consistently confirm that cultural institutions represent a multibillion dollar segment of the state's overall economy and are directly responsible for tens of thousands of jobs.</w:t>
      </w:r>
    </w:p>
    <w:p>
      <w:pPr>
        <w:spacing w:before="0" w:after="0" w:line="408" w:lineRule="exact"/>
        <w:ind w:left="0" w:right="0" w:firstLine="576"/>
        <w:jc w:val="left"/>
      </w:pPr>
      <w:r>
        <w:rPr/>
        <w:t xml:space="preserve">(2) The purpose of this chapter is to authorize the cultural access program, under which counties authorize funding for public school cultural access programs and support cultural organizations.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chapter </w:t>
      </w:r>
      <w:r>
        <w:t xml:space="preserve">43</w:t>
      </w:r>
      <w:r>
        <w:rPr/>
        <w:t xml:space="preserve">.</w:t>
      </w:r>
      <w:r>
        <w:t xml:space="preserve">46</w:t>
      </w:r>
      <w:r>
        <w:rPr/>
        <w:t xml:space="preserve"> RCW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14</w:t>
      </w:r>
      <w:r>
        <w:rPr/>
        <w:t xml:space="preserve"> RCW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702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84</w:t>
      </w:r>
      <w:r>
        <w:rPr/>
        <w:t xml:space="preserve">.</w:t>
      </w:r>
      <w:r>
        <w:t xml:space="preserve">52</w:t>
      </w:r>
      <w:r>
        <w:rPr/>
        <w:t xml:space="preserve"> RCW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702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may provide for a levy for a period of up to seven consecutive years. The total dollar amount to be set forth in the ordinance and the ballot proposition may not exceed an amount equal to: (a) The total taxable retail sales and taxable uses for the most recent calendar year as reported by the department; multiplied by (b) one-tenth of one percent.</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 The ordinance and the ballot proposition must set forth the total dollar amount to be collected in the first year of the reimposed levy, which dollar amount may not exceed an amount equal to: (a) The total number of taxable retail sales and taxable uses for the most recent calendar year as reported by the department; multiplied by (b) one-tenth of one percent.</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w:t>
      </w:r>
      <w:r>
        <w:rPr>
          <w:u w:val="single"/>
        </w:rPr>
        <w:t xml:space="preserve">section 403 of this act,</w:t>
      </w:r>
      <w:r>
        <w:rPr/>
        <w:t xml:space="preserve">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t xml:space="preserve">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t xml:space="preserve">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rPr/>
        <w:t xml:space="preserve">(1)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rPr>
          <w:strike/>
        </w:rPr>
        <w:t xml:space="preserve">shall</w:t>
      </w:r>
      <w:r>
        <w:rPr/>
        <w:t xml:space="preserve">)) </w:t>
      </w:r>
      <w:r>
        <w:rPr>
          <w:u w:val="single"/>
        </w:rPr>
        <w:t xml:space="preserve">must</w:t>
      </w:r>
      <w:r>
        <w:rPr/>
        <w:t xml:space="preserve"> be reduced as follows:</w:t>
      </w:r>
    </w:p>
    <w:p>
      <w:pPr>
        <w:spacing w:before="0" w:after="0" w:line="408" w:lineRule="exact"/>
        <w:ind w:left="0" w:right="0" w:firstLine="576"/>
        <w:jc w:val="left"/>
      </w:pPr>
      <w:r>
        <w:rPr/>
        <w:t xml:space="preserve">(a) The levy imposed by a county under RCW 84.52.140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(b) If the combined rate of regular property tax levies that are subject to the one percent limitation still exceeds one percent of the true and fair value of any property,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(c)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(d)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(f)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 and</w:t>
      </w:r>
    </w:p>
    <w:p>
      <w:pPr>
        <w:spacing w:before="0" w:after="0" w:line="408" w:lineRule="exact"/>
        <w:ind w:left="0" w:right="0" w:firstLine="576"/>
        <w:jc w:val="left"/>
      </w:pPr>
      <w:r>
        <w:rPr/>
        <w:t xml:space="preserve">(g) If the combined rate of regular property tax levies that are subject to the one percent limitation still exceeds one percent of the true and fair value of any property,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rPr/>
        <w:t xml:space="preserve">(2)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(a) First, the certified property tax levy rates of those junior taxing districts authorized under RCW 36.68.525, 36.69.145, 35.95A.100, ((</w:t>
      </w:r>
      <w:r>
        <w:rPr>
          <w:strike/>
        </w:rPr>
        <w:t xml:space="preserve">and</w:t>
      </w:r>
      <w:r>
        <w:rPr/>
        <w:t xml:space="preserve">)) 67.38.130</w:t>
      </w:r>
      <w:r>
        <w:rPr>
          <w:u w:val="single"/>
        </w:rPr>
        <w:t xml:space="preserve">, and section 403 of this act</w:t>
      </w:r>
      <w:r>
        <w:rPr/>
        <w:t xml:space="preserve">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(b) Second,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(c)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(d) Fourth,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(e) Fifth,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rPr/>
        <w:t xml:space="preserve">(f)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(ii) Providing directly or otherwise funding and arranging for transportation for public school students to attend and participate in the programs and activities offered by such organizations;</w:t>
      </w:r>
    </w:p>
    <w:p>
      <w:pPr>
        <w:spacing w:before="0" w:after="0" w:line="408" w:lineRule="exact"/>
        <w:ind w:left="0" w:right="0" w:firstLine="576"/>
        <w:jc w:val="left"/>
      </w:pPr>
      <w:r>
        <w:rPr/>
        <w:t xml:space="preserve">(iii)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(iv)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302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w:t>
      </w:r>
    </w:p>
    <w:p>
      <w:pPr>
        <w:spacing w:before="0" w:after="0" w:line="408" w:lineRule="exact"/>
        <w:ind w:left="0" w:right="0" w:firstLine="576"/>
        <w:jc w:val="left"/>
      </w:pPr>
      <w:r>
        <w:rPr/>
        <w:t xml:space="preserve">(d) Seventy-five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 Any funds available under (d) of this subsection not distributed to regional cultural organizations as a result of application of the formula provided under this subsection (2)(e) must be allocated by the program for distribution under (g) of this subsection;</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In addition to providing or continuing to provide public benefits identified by the program under this section, regional cultural organizations receiving funding under this subsection (2) must participate in good faith in the program's public school cultural access program required under section 502 of this act. The regional cultural organizations must provide or continue to provide public benefits under this section in addition to participating in the public school cultural access program. Each regional cultural organization receiving funds authorized under this chapter pursuant to a program allocation formula must annually, prior to year end, preview for the program public benefits the organization's plans to provide or continue to provide in the following year and report on public benefits it provided or continued to provide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e77cb4cf5dba4f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4a2ab9a9d34a81" /><Relationship Type="http://schemas.openxmlformats.org/officeDocument/2006/relationships/footer" Target="/word/footer.xml" Id="Re77cb4cf5dba4f32" /></Relationships>
</file>