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1d83ac0944c72" /></Relationships>
</file>

<file path=word/document.xml><?xml version="1.0" encoding="utf-8"?>
<w:document xmlns:w="http://schemas.openxmlformats.org/wordprocessingml/2006/main">
  <w:body>
    <w:p>
      <w:r>
        <w:t>H-0356.3</w:t>
      </w:r>
    </w:p>
    <w:p>
      <w:pPr>
        <w:jc w:val="center"/>
      </w:pPr>
      <w:r>
        <w:t>_______________________________________________</w:t>
      </w:r>
    </w:p>
    <w:p/>
    <w:p>
      <w:pPr>
        <w:jc w:val="center"/>
      </w:pPr>
      <w:r>
        <w:rPr>
          <w:b/>
        </w:rPr>
        <w:t>HOUSE BILL 1107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Wilcox, Reykdal, Fitzgibbon, Bergquist, Hudgins, Lytton, McBride, Santos, Jinkins, Appleton, Tarleton, and Walkinshaw</w:t>
      </w:r>
    </w:p>
    <w:p/>
    <w:p>
      <w:r>
        <w:rPr>
          <w:t xml:space="preserve">Prefiled 01/09/15.</w:t>
        </w:rPr>
      </w:r>
      <w:r>
        <w:rPr>
          <w:t xml:space="preserve">Read first time 01/12/15.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and creation of cultural and heritage programs and facilities; amending RCW 84.52.010 and 84.52.010;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shall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shall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chapter </w:t>
      </w:r>
      <w:r>
        <w:t xml:space="preserve">43</w:t>
      </w:r>
      <w:r>
        <w:rPr/>
        <w:t xml:space="preserve">.</w:t>
      </w:r>
      <w:r>
        <w:t xml:space="preserve">46</w:t>
      </w:r>
      <w:r>
        <w:rPr/>
        <w:t xml:space="preserve"> RCW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election held after June 30, 2016. The ordinance and ballot proposition, if any,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reimpose the sales and use tax by ordinance and, in its sole discretion, may condition its reimposition on the prior specific authorization of a majority of the voters voting on a proposition submitted at any special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52</w:t>
      </w:r>
      <w:r>
        <w:rPr/>
        <w:t xml:space="preserve"> RCW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special election held after June 30, 2016. The ordinance and the ballot proposition, if any, must set forth the total dollar amount to be collected in the first year of the levy and may provide for a levy for a period of up to seven consecutive years. The total dollar amount to be set forth in the ordinance and the ballot proposition, if any, may not exceed an amount equal to: (a) The total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reimpose the levy by ordinance and, in its sole discretion, may condition the reimposition of the levy upon the specific authorization of a majority of the voters voting on a proposition submitted at any special election. The ordinance and the ballot proposition, if any, must set forth the total dollar amount to be collected in the first year of the reimposed levy, which dollar amount may not exceed an amount equal to: (a) The total number of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w:t>
      </w:r>
      <w:r>
        <w:rPr>
          <w:u w:val="single"/>
        </w:rPr>
        <w:t xml:space="preserve">section 403 of this act,</w:t>
      </w:r>
      <w:r>
        <w:rPr/>
        <w:t xml:space="preserve">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t xml:space="preserve">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t xml:space="preserve">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rPr/>
        <w:t xml:space="preserve">(1)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shall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rPr/>
        <w:t xml:space="preserve">(a)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(b)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(c)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(d)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(e) If the combined rate of regular property tax levies that are subject to the one percent limitation still exceeds one percent of the true and fair value of any property, the portion of the levy by a metropolitan park district that is protected under RCW 84.52.120 shall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(f)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rPr/>
        <w:t xml:space="preserve">(g)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rPr/>
        <w:t xml:space="preserve">(2)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(a) First, the certified property tax levy rates of those junior taxing districts authorized under RCW 36.68.525, 36.69.145, 35.95A.100, ((</w:t>
      </w:r>
      <w:r>
        <w:rPr>
          <w:strike/>
        </w:rPr>
        <w:t xml:space="preserve">and</w:t>
      </w:r>
      <w:r>
        <w:rPr/>
        <w:t xml:space="preserve">)) 67.38.130</w:t>
      </w:r>
      <w:r>
        <w:rPr>
          <w:u w:val="single"/>
        </w:rPr>
        <w:t xml:space="preserve">, and section 403 of this act</w:t>
      </w:r>
      <w:r>
        <w:rPr/>
        <w:t xml:space="preserve">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(b) Second,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(d) Fourth,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(e) Fifth,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rPr/>
        <w:t xml:space="preserve">(f)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shall provide or continue to provide funding authorized under this chapter only to cultural organizations that provide discernible public benefits. Each program created under this chapter shall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shall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shall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(ii) Providing directly or otherwise funding and arranging for transportation for public school students to attend and participate in the programs and activities offered by such organizations;</w:t>
      </w:r>
    </w:p>
    <w:p>
      <w:pPr>
        <w:spacing w:before="0" w:after="0" w:line="408" w:lineRule="exact"/>
        <w:ind w:left="0" w:right="0" w:firstLine="576"/>
        <w:jc w:val="left"/>
      </w:pPr>
      <w:r>
        <w:rPr/>
        <w:t xml:space="preserve">(iii)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303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shall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shall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shall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shall participate in good faith in the program's public school cultural access program required under section 502 of this act. The regional cultural organizations shall provide or continue to provide public benefits under this section in addition to participating in the public school cultural access program. Each regional cultural organization receiving funds authorized under this chapter pursuant to a program allocation formula shall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shall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c57de7367cce4a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b0a8ffc694741" /><Relationship Type="http://schemas.openxmlformats.org/officeDocument/2006/relationships/footer" Target="/word/footer.xml" Id="Rc57de7367cce4a54" /></Relationships>
</file>