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06890df3440d7" /></Relationships>
</file>

<file path=word/document.xml><?xml version="1.0" encoding="utf-8"?>
<w:document xmlns:w="http://schemas.openxmlformats.org/wordprocessingml/2006/main">
  <w:body>
    <w:p>
      <w:r>
        <w:t>H-1527.1</w:t>
      </w:r>
    </w:p>
    <w:p>
      <w:pPr>
        <w:jc w:val="center"/>
      </w:pPr>
      <w:r>
        <w:t>_______________________________________________</w:t>
      </w:r>
    </w:p>
    <w:p/>
    <w:p>
      <w:pPr>
        <w:jc w:val="center"/>
      </w:pPr>
      <w:r>
        <w:rPr>
          <w:b/>
        </w:rPr>
        <w:t>SUBSTITUTE HOUSE BILL 1174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Van De Wege, Taylor, Fitzgibbon, Senn, Shea, Magendanz, Springer, Tarleton, Ortiz-Self, Gregerson, Ormsby, Hunter, Ryu, S. Hunt, Riccelli, Stanford, Tharinger, Jinkins, Walkinshaw, Fey, Clibborn, Farrell, and Goodman)</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flame retardants; amending RCW 70.240.020, 70.240.010, and 70.240.050; and adding new sections to chapter 70.240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w:t>
      </w:r>
      <w:r>
        <w:rPr>
          <w:strike/>
        </w:rPr>
        <w:t xml:space="preserve">(2)</w:t>
      </w:r>
      <w:r>
        <w:rPr/>
        <w:t xml:space="preserve">)) </w:t>
      </w:r>
      <w:r>
        <w:rPr>
          <w:u w:val="single"/>
        </w:rPr>
        <w:t xml:space="preserve">(3)</w:t>
      </w:r>
      <w:r>
        <w:rPr/>
        <w:t xml:space="preserve">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w:t>
      </w:r>
      <w:r>
        <w:rPr>
          <w:u w:val="single"/>
        </w:rPr>
        <w:t xml:space="preserve">Beginning July 1, 2016, no manufacturer, wholesaler, or retailer may manufacture, knowingly sell, offer for sale, distribute for sale, or distribute for use in this state children's products or</w:t>
      </w:r>
      <w:r>
        <w:rPr>
          <w:u w:val="single"/>
        </w:rPr>
        <w:t xml:space="preserve">residential upholstered furniture, as defined in RCW 70.76.010, containing TDCPP or TCEP in amounts greater than one hundred parts per million in any product component.</w:t>
      </w:r>
    </w:p>
    <w:p>
      <w:pPr>
        <w:spacing w:before="0" w:after="0" w:line="408" w:lineRule="exact"/>
        <w:ind w:left="0" w:right="0" w:firstLine="576"/>
        <w:jc w:val="left"/>
      </w:pPr>
      <w:r>
        <w:rPr>
          <w:u w:val="single"/>
        </w:rPr>
        <w:t xml:space="preserve">(3)</w:t>
      </w:r>
      <w:r>
        <w:rPr/>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no manufacturer, wholesaler, or retailer may manufacture, knowingly sell, offer for sale, distribute for sale, or distribute for use in this state residential upholstered furniture, as defined in RCW 70.76.010, or children's products containing a flame retardant in any product component in amounts greater than one hundred parts per million identified by the department as a high priority chemical of high concern for children as required under RCW 70.240.030.</w:t>
      </w:r>
    </w:p>
    <w:p>
      <w:pPr>
        <w:spacing w:before="0" w:after="0" w:line="408" w:lineRule="exact"/>
        <w:ind w:left="0" w:right="0" w:firstLine="576"/>
        <w:jc w:val="left"/>
      </w:pPr>
      <w:r>
        <w:rPr/>
        <w:t xml:space="preserve">(2) Except for TDCPP and TCEP, the department shall grant an exemption to restrictions under subsection (1) of this section for a length of time requested by the manufacturer, but not to exceed two years, if the manufacturer of residential upholstered furniture or children's products demonstrates, and the department determines, that there is no technically feasible safer alternative to meet applicable Washington state or federal fire safety standards.</w:t>
      </w:r>
    </w:p>
    <w:p>
      <w:pPr>
        <w:spacing w:before="0" w:after="0" w:line="408" w:lineRule="exact"/>
        <w:ind w:left="0" w:right="0" w:firstLine="576"/>
        <w:jc w:val="left"/>
      </w:pPr>
      <w:r>
        <w:rPr/>
        <w:t xml:space="preserve">(3) Antimony and antimony compounds, chemical abstracts service number 7440-36-0 as of the effective date of this section, are not flame retardants for purposes of this section and are not subject to the restrictions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2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w:t>
      </w:r>
    </w:p>
    <w:p>
      <w:pPr>
        <w:spacing w:before="0" w:after="0" w:line="408" w:lineRule="exact"/>
        <w:ind w:left="0" w:right="0" w:firstLine="576"/>
        <w:jc w:val="left"/>
      </w:pPr>
      <w:r>
        <w:rPr/>
        <w:t xml:space="preserve">(b) The specific basis upon which an exemption, if applicable, is claimed; and</w:t>
      </w:r>
    </w:p>
    <w:p>
      <w:pPr>
        <w:spacing w:before="0" w:after="0" w:line="408" w:lineRule="exact"/>
        <w:ind w:left="0" w:right="0" w:firstLine="576"/>
        <w:jc w:val="left"/>
      </w:pPr>
      <w:r>
        <w:rPr/>
        <w:t xml:space="preserve">(c)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(14)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(15) "Technically feasible" means an alternative that is available at a cost and in sufficient quantity to permit the manufacturer to produce an economically viable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
      <w:pPr>
        <w:jc w:val="center"/>
      </w:pPr>
      <w:r>
        <w:rPr>
          <w:b/>
        </w:rPr>
        <w:t>--- END ---</w:t>
      </w:r>
    </w:p>
    <w:sectPr>
      <w:pgNumType w:start="1"/>
      <w:footerReference xmlns:r="http://schemas.openxmlformats.org/officeDocument/2006/relationships" r:id="R0aaf8577b0db49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212c66a534e03" /><Relationship Type="http://schemas.openxmlformats.org/officeDocument/2006/relationships/footer" Target="/word/footer.xml" Id="R0aaf8577b0db4918" /></Relationships>
</file>