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9f2e038dd46c0" /></Relationships>
</file>

<file path=word/document.xml><?xml version="1.0" encoding="utf-8"?>
<w:document xmlns:w="http://schemas.openxmlformats.org/wordprocessingml/2006/main">
  <w:body>
    <w:p>
      <w:r>
        <w:t>H-0564.1</w:t>
      </w:r>
    </w:p>
    <w:p>
      <w:pPr>
        <w:jc w:val="center"/>
      </w:pPr>
      <w:r>
        <w:t>_______________________________________________</w:t>
      </w:r>
    </w:p>
    <w:p/>
    <w:p>
      <w:pPr>
        <w:jc w:val="center"/>
      </w:pPr>
      <w:r>
        <w:rPr>
          <w:b/>
        </w:rPr>
        <w:t>HOUSE BILL 1174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Taylor, Fitzgibbon, Senn, Shea, Magendanz, Springer, Tarleton, Ortiz-Self, Gregerson, Ormsby, Hunter, Ryu, S. Hunt, Riccelli, Stanford, Tharinger, Jinkins, Walkinshaw, Fey, Clibborn, Farrell, and Goodman</w:t>
      </w:r>
    </w:p>
    <w:p/>
    <w:p>
      <w:r>
        <w:rPr>
          <w:t xml:space="preserve">Read first time 01/14/15.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flame retardants; amending RCW 70.240.020,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w:t>
      </w:r>
      <w:r>
        <w:rPr>
          <w:strike/>
        </w:rPr>
        <w:t xml:space="preserve">(2)</w:t>
      </w:r>
      <w:r>
        <w:rPr/>
        <w:t xml:space="preserve">)) </w:t>
      </w:r>
      <w:r>
        <w:rPr>
          <w:u w:val="single"/>
        </w:rPr>
        <w:t xml:space="preserve">(3)</w:t>
      </w:r>
      <w:r>
        <w:rPr/>
        <w:t xml:space="preserve">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w:t>
      </w:r>
      <w:r>
        <w:rPr>
          <w:u w:val="single"/>
        </w:rPr>
        <w:t xml:space="preserve">Beginning July 1, 2016, no manufacturer, wholesaler, or retailer may manufacture, knowingly sell, offer for sale, distribute for sale, or distribute for use in this state children's products or</w:t>
      </w:r>
      <w:r>
        <w:rPr>
          <w:u w:val="single"/>
        </w:rPr>
        <w:t xml:space="preserve">residential upholstered furniture, as defined in RCW 70.76.010, containing TDCPP or TCEP in amounts greater than one hundred parts per million in any product component.</w:t>
      </w:r>
    </w:p>
    <w:p>
      <w:pPr>
        <w:spacing w:before="0" w:after="0" w:line="408" w:lineRule="exact"/>
        <w:ind w:left="0" w:right="0" w:firstLine="576"/>
        <w:jc w:val="left"/>
      </w:pPr>
      <w:r>
        <w:rPr>
          <w:u w:val="single"/>
        </w:rPr>
        <w:t xml:space="preserve">(3)</w:t>
      </w:r>
      <w:r>
        <w:rP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hundred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Except for TDCPP and TCEP, the department shall grant an exemption to restrictions under subsection (1) of this section for a length of time requested by the manufacturer, but not to exceed two years, if the manufacturer of residential upholstered furniture or children's products demonstrates, and the department determines, that there is no technically feasible safer alternative to meet applicable Washington state or federal fire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2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(14)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(15) "Technically feasible" means an alternative that is available at a cost and in sufficient quantity to permit the manufacturer to produce an economically viable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
      <w:pPr>
        <w:jc w:val="center"/>
      </w:pPr>
      <w:r>
        <w:rPr>
          <w:b/>
        </w:rPr>
        <w:t>--- END ---</w:t>
      </w:r>
    </w:p>
    <w:sectPr>
      <w:pgNumType w:start="1"/>
      <w:footerReference xmlns:r="http://schemas.openxmlformats.org/officeDocument/2006/relationships" r:id="R301b38d2e06c42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2435e7ecb41e9" /><Relationship Type="http://schemas.openxmlformats.org/officeDocument/2006/relationships/footer" Target="/word/footer.xml" Id="R301b38d2e06c42dc" /></Relationships>
</file>