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9796816a64fa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1186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Clibborn, Springer, Johnson, Senn, Moeller, McBride, Walkinshaw, Caldier, and Fey)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notifications to patients in observation status at hospitals;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hospital shall provide oral and written notification to any patient or patient's legal representative within twenty-four hours of classifying the patient as an outpatient in observation status unless the patient has been discharged or has left the hospital prior to the expiration of the twenty-four-hour period. The notice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statement that the patient is classified as an outpatient in observation status and is not admitted as an inpatient to the hospital;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statement that outpatient observation status may affect the patient's medicare, medicaid, or private insurance coverage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Hospital services, including medications and pharmaceutical supplies;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Home or community-based care or care at a skilled nursing facility upon the patient's discharge;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recommendation that the patient or the patient's legal representative: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Contact the patient's insurance provider to better understand the implications of being classified as an outpatient in observation status;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Conduct a timely review of any benefit statements provided by the patient's insurance provider, including any medicare summary notice or explanation of benefits, and contact the patient's insurance provider with any concerns.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department, in consultation with hospitals in the state, shall adopt rules to standardize elements to be included in the notice required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"observation status" means the classification of a patient as an outpatient while a decision is made regarding whether the patient will require further treatment as a hospital inpatient or if the patient may be able to be discharged from the hospital.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ffaf420fb234e6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1186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51520359b46b1" /><Relationship Type="http://schemas.openxmlformats.org/officeDocument/2006/relationships/footer" Target="/word/footer.xml" Id="Rbffaf420fb234e6e" /></Relationships>
</file>