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35a68b512047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Ortiz-Self, Johnson, Santos, Lytton, Moscoso, Pettigrew, Walkinshaw, Kilduff, Sawyer, Reykdal, Bergquist, Fey, Tarleton, and Hudgins)</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parent or guardian approval requirement for the college bound scholarship pledge; amending RCW 28B.118.040; and reenacting and amending RCW 28B.118.010.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t xml:space="preserve"> </w:t>
      </w:r>
      <w:r>
        <w:rPr>
          <w:u w:val="single"/>
        </w:rPr>
        <w:t xml:space="preserve">the student's</w:t>
      </w:r>
      <w:r>
        <w:rPr/>
        <w:t xml:space="preserve"> eligibility for the Washington college bound scholarship program beginning in </w:t>
      </w:r>
      <w:r>
        <w:t>((</w:t>
      </w:r>
      <w:r>
        <w:rPr>
          <w:strike/>
        </w:rPr>
        <w:t xml:space="preserve">their</w:t>
      </w:r>
      <w:r>
        <w:t>))</w:t>
      </w:r>
      <w:r>
        <w:rPr/>
        <w:t xml:space="preserve"> </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w:t>
      </w:r>
      <w:r>
        <w:rPr>
          <w:u w:val="single"/>
        </w:rPr>
        <w:t xml:space="preserve">(i) Beginning in the 2015-16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u w:val="single"/>
        </w:rPr>
        <w:t xml:space="preserve">(ii) If the signature of the student's parent or guardian is not obtained, the office of student financial assistance may partner with the school counselor or administrator to secure the parent's or guardian's signature to witness the pledge.</w:t>
      </w:r>
    </w:p>
    <w:p>
      <w:pPr>
        <w:spacing w:before="0" w:after="0" w:line="408" w:lineRule="exact"/>
        <w:ind w:left="0" w:right="0" w:firstLine="576"/>
        <w:jc w:val="left"/>
      </w:pPr>
      <w:r>
        <w:rPr>
          <w:u w:val="single"/>
        </w:rPr>
        <w:t xml:space="preserve">(iii) If a parent's or guardian's signature is still not obtained, the school counselor or administrator may witness the pledge and indicate to the office of student financial assistance the nature of the unsuccessful efforts to contact the student's parent or guardian.</w:t>
      </w:r>
    </w:p>
    <w:p>
      <w:pPr>
        <w:spacing w:before="0" w:after="0" w:line="408" w:lineRule="exact"/>
        <w:ind w:left="0" w:right="0" w:firstLine="576"/>
        <w:jc w:val="left"/>
      </w:pPr>
      <w:r>
        <w:rPr>
          <w:u w:val="single"/>
        </w:rPr>
        <w:t xml:space="preserve">(c)</w:t>
      </w:r>
      <w:r>
        <w:rPr/>
        <w:t xml:space="preserve">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2011 1st sp.s. c 11 s 228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w:t>
      </w:r>
    </w:p>
    <w:p>
      <w:pPr>
        <w:spacing w:before="0" w:after="0" w:line="408" w:lineRule="exact"/>
        <w:ind w:left="0" w:right="0" w:firstLine="576"/>
        <w:jc w:val="left"/>
      </w:pPr>
      <w:r>
        <w:rPr/>
        <w:t xml:space="preserve">(4) Track scholarship recipients to ensure continued eligibility and determine student compliance for awarding of scholarships;</w:t>
      </w:r>
    </w:p>
    <w:p>
      <w:pPr>
        <w:spacing w:before="0" w:after="0" w:line="408" w:lineRule="exact"/>
        <w:ind w:left="0" w:right="0" w:firstLine="576"/>
        <w:jc w:val="left"/>
      </w:pPr>
      <w:r>
        <w:rPr/>
        <w:t xml:space="preserve">(5) Subject to appropriation, deposit funds into the state educational trust fund;</w:t>
      </w:r>
    </w:p>
    <w:p>
      <w:pPr>
        <w:spacing w:before="0" w:after="0" w:line="408" w:lineRule="exact"/>
        <w:ind w:left="0" w:right="0" w:firstLine="576"/>
        <w:jc w:val="left"/>
      </w:pPr>
      <w:r>
        <w:rPr/>
        <w:t xml:space="preserve">(6)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(7)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NumType w:start="1"/>
      <w:footerReference xmlns:r="http://schemas.openxmlformats.org/officeDocument/2006/relationships" r:id="R2ad48b2e2c2e4c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b039fe382947f7" /><Relationship Type="http://schemas.openxmlformats.org/officeDocument/2006/relationships/footer" Target="/word/footer.xml" Id="R2ad48b2e2c2e4cfd" /></Relationships>
</file>