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f64752ecc4b33" /></Relationships>
</file>

<file path=word/document.xml><?xml version="1.0" encoding="utf-8"?>
<w:document xmlns:w="http://schemas.openxmlformats.org/wordprocessingml/2006/main">
  <w:body>
    <w:p>
      <w:r>
        <w:t>H-0661.2</w:t>
      </w:r>
    </w:p>
    <w:p>
      <w:pPr>
        <w:jc w:val="center"/>
      </w:pPr>
      <w:r>
        <w:t>_______________________________________________</w:t>
      </w:r>
    </w:p>
    <w:p/>
    <w:p>
      <w:pPr>
        <w:jc w:val="center"/>
      </w:pPr>
      <w:r>
        <w:rPr>
          <w:b/>
        </w:rPr>
        <w:t>HOUSE BILL 1236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Johnson, Santos, Lytton, Moscoso, Pettigrew, Walkinshaw, Kilduff, Sawyer, Reykdal, Bergquist, Fey, Tarleton, and Hudgins</w:t>
      </w:r>
    </w:p>
    <w:p/>
    <w:p>
      <w:r>
        <w:rPr>
          <w:t xml:space="preserve">Read first time 01/15/15.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amending RCW 28B.118.040;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u w:val="single"/>
        </w:rPr>
        <w:t xml:space="preserve">the student's</w:t>
      </w:r>
      <w:r>
        <w:rPr/>
        <w:t xml:space="preserve"> eligibility for the Washington college bound scholarship program beginning in </w:t>
      </w:r>
      <w:r>
        <w:t>((</w:t>
      </w:r>
      <w:r>
        <w:rPr>
          <w:strike/>
        </w:rPr>
        <w:t xml:space="preserve">their</w:t>
      </w:r>
      <w:r>
        <w:t>))</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t>
      </w:r>
      <w:r>
        <w:t>((</w:t>
      </w:r>
      <w:r>
        <w:rPr>
          <w:strike/>
        </w:rPr>
        <w:t xml:space="preserve">witnessed by a parent or guardian and</w:t>
      </w:r>
      <w:r>
        <w:t>))</w:t>
      </w:r>
      <w:r>
        <w:rPr/>
        <w:t xml:space="preserve">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p>
    <w:p>
      <w:pPr>
        <w:spacing w:before="0" w:after="0" w:line="408" w:lineRule="exact"/>
        <w:ind w:left="0" w:right="0" w:firstLine="576"/>
        <w:jc w:val="left"/>
      </w:pPr>
      <w:r>
        <w:rPr/>
        <w:t xml:space="preserve">(4) Track scholarship recipients to ensure continued eligibility and determine student compliance for awarding of scholarships;</w:t>
      </w:r>
    </w:p>
    <w:p>
      <w:pPr>
        <w:spacing w:before="0" w:after="0" w:line="408" w:lineRule="exact"/>
        <w:ind w:left="0" w:right="0" w:firstLine="576"/>
        <w:jc w:val="left"/>
      </w:pPr>
      <w:r>
        <w:rPr/>
        <w:t xml:space="preserve">(5) Subject to appropriation, deposit funds into the state educational trust fund;</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w:t>
      </w:r>
      <w:r>
        <w:t>((</w:t>
      </w:r>
      <w:r>
        <w:rPr>
          <w:strike/>
        </w:rPr>
        <w:t xml:space="preserve">board</w:t>
      </w:r>
      <w:r>
        <w:t>))</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(7)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400698b1d52b47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f2bf92b254c70" /><Relationship Type="http://schemas.openxmlformats.org/officeDocument/2006/relationships/footer" Target="/word/footer.xml" Id="R400698b1d52b4754" /></Relationships>
</file>