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55a8e40614fd0" /></Relationships>
</file>

<file path=word/document.xml><?xml version="1.0" encoding="utf-8"?>
<w:document xmlns:w="http://schemas.openxmlformats.org/wordprocessingml/2006/main">
  <w:body>
    <w:p>
      <w:r>
        <w:t>H-1225.4</w:t>
      </w:r>
    </w:p>
    <w:p>
      <w:pPr>
        <w:jc w:val="center"/>
      </w:pPr>
      <w:r>
        <w:t>_______________________________________________</w:t>
      </w:r>
    </w:p>
    <w:p/>
    <w:p>
      <w:pPr>
        <w:jc w:val="center"/>
      </w:pPr>
      <w:r>
        <w:rPr>
          <w:b/>
        </w:rPr>
        <w:t>SUBSTITUTE HOUSE BILL 1276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Klippert, Goodman, Hayes, Orwall, Moscoso, Pettigrew, Zeiger, Kilduff, and Fey)</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46.61.140, 46.61.5055, 46.01.260, 43.43.395, 9.94A.533, 9.94A.729, 68.50.160, 9.94A.589, 46.61.504, 46.61.503, 46.20.755, 36.28A.300, 36.28A.320, 36.28A.330, 36.28A.370, 36.28A.390, 10.21.015, and 10.21.030; reenacting and amending RCW 46.52.130; adding a new section to chapter 46.61 RCW; repealing RCW 36.28A.310; and prescribing penalties.</w:t>
      </w:r>
    </w:p>
    <w:p>
      <w:r>
        <w:t/>
      </w:r>
    </w:p>
    <w:p>
      <w:r>
        <w:t>BE IT ENACTED BY THE LEGISLATURE OF THE STATE OF WASHINGTON:</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 (i)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r>
        <w:rPr>
          <w:u w:val="single"/>
        </w:rPr>
        <w:t xml:space="preserve">(ii)</w:t>
      </w:r>
      <w:r>
        <w:rPr/>
        <w:t xml:space="preserve"> comply with 24/7 sobriety program monitoring, as defined in RCW 36.28A.330; or both.</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u w:val="single"/>
        </w:rPr>
        <w:t xml:space="preserve">(c) The person ordered to install the ignition interlock pursuant to subsection (1)(a) of this section satisfies the requirement to install an ignition interlock by filing a sworn statement with the court before the date for the required ignition interlock installation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shall have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u w:val="single"/>
        </w:rPr>
        <w:t xml:space="preserve">(6)</w:t>
      </w:r>
      <w:r>
        <w:rPr/>
        <w:t xml:space="preserve"> Upon receipt of the sworn report of a law enforcement officer under subsection </w:t>
      </w:r>
      <w:r>
        <w:t>((</w:t>
      </w:r>
      <w:r>
        <w:rPr>
          <w:strike/>
        </w:rPr>
        <w:t xml:space="preserve">(4)</w:t>
      </w:r>
      <w:r>
        <w:t>))</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Driving on roadways laned for traffic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w:t>
      </w:r>
      <w:r>
        <w:t>((</w:t>
      </w:r>
      <w:r>
        <w:rPr>
          <w:strike/>
        </w:rPr>
        <w:t xml:space="preserve">as nearly as practicable</w:t>
      </w:r>
      <w:r>
        <w:t>))</w:t>
      </w:r>
      <w:r>
        <w:rPr/>
        <w:t xml:space="preserv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It is an affirmative defense to a violation of this section, which the driver must establish by a preponderance of the evidence, that the vehicle crossed into another lane as a result of an act, omission, or occurrence outside of the driver's immediate control and only to the minimum extent reasonably necessary under the circumstances.</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 A conviction for a violation of RCW 46.61.503 or an equivalent local ordinance;</w:t>
      </w:r>
    </w:p>
    <w:p>
      <w:pPr>
        <w:spacing w:before="0" w:after="0" w:line="408" w:lineRule="exact"/>
        <w:ind w:left="0" w:right="0" w:firstLine="576"/>
        <w:jc w:val="left"/>
      </w:pPr>
      <w:r>
        <w:rPr>
          <w:u w:val="single"/>
        </w:rPr>
        <w:t xml:space="preserve">(ix) A conviction for a violation of RCW 79A.60.060(2)(b) or an equivalent local ordinance;</w:t>
      </w:r>
    </w:p>
    <w:p>
      <w:pPr>
        <w:spacing w:before="0" w:after="0" w:line="408" w:lineRule="exact"/>
        <w:ind w:left="0" w:right="0" w:firstLine="576"/>
        <w:jc w:val="left"/>
      </w:pPr>
      <w:r>
        <w:rPr>
          <w:u w:val="single"/>
        </w:rPr>
        <w:t xml:space="preserve">(x) A conviction for a violation of RCW 79A.60.060(2)(a) or an equivalent local ordinance if the conviction is the result of a charge that was originally filed as a violation of RCW 79A.60.060(2)(b) or an equivalent local ordinance;</w:t>
      </w:r>
    </w:p>
    <w:p>
      <w:pPr>
        <w:spacing w:before="0" w:after="0" w:line="408" w:lineRule="exact"/>
        <w:ind w:left="0" w:right="0" w:firstLine="576"/>
        <w:jc w:val="left"/>
      </w:pPr>
      <w:r>
        <w:rPr>
          <w:u w:val="single"/>
        </w:rPr>
        <w:t xml:space="preserve">(xi) A conviction for a violation of RCW 79A.60.050(1)(a) or an equivalent local ordinance;</w:t>
      </w:r>
    </w:p>
    <w:p>
      <w:pPr>
        <w:spacing w:before="0" w:after="0" w:line="408" w:lineRule="exact"/>
        <w:ind w:left="0" w:right="0" w:firstLine="576"/>
        <w:jc w:val="left"/>
      </w:pPr>
      <w:r>
        <w:rPr>
          <w:u w:val="single"/>
        </w:rPr>
        <w:t xml:space="preserve">(xii) A conviction for a violation of RCW 79A.60.050(1) (b) or (c), or an equivalent local ordinance if the conviction is the result of a charge that was originally filed as a violation of RCW 79A.60.050(1)(a) or an equivalent local ordinance;</w:t>
      </w:r>
    </w:p>
    <w:p>
      <w:pPr>
        <w:spacing w:before="0" w:after="0" w:line="408" w:lineRule="exact"/>
        <w:ind w:left="0" w:right="0" w:firstLine="576"/>
        <w:jc w:val="left"/>
      </w:pPr>
      <w:r>
        <w:rPr>
          <w:u w:val="single"/>
        </w:rPr>
        <w:t xml:space="preserve">(xiii)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u w:val="single"/>
        </w:rPr>
        <w:t xml:space="preserve">(xiv)</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u w:val="single"/>
        </w:rPr>
        <w:t xml:space="preserve">(xv)</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u w:val="single"/>
        </w:rPr>
        <w:t xml:space="preserve">(xvi)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u w:val="single"/>
        </w:rPr>
        <w:t xml:space="preserve">(xvii)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u w:val="single"/>
        </w:rPr>
        <w:t xml:space="preserve">(xviii)</w:t>
      </w:r>
      <w:r>
        <w:rPr/>
        <w:t xml:space="preserve"> An out-of-state conviction for a violation that would have been a violation of (a)(i), (ii), </w:t>
      </w:r>
      <w:r>
        <w:t>((</w:t>
      </w:r>
      <w:r>
        <w:rPr>
          <w:strike/>
        </w:rPr>
        <w:t xml:space="preserve">(viii)</w:t>
      </w:r>
      <w:r>
        <w:t>))</w:t>
      </w:r>
      <w:r>
        <w:rPr>
          <w:u w:val="single"/>
        </w:rPr>
        <w:t xml:space="preserve">(xv)</w:t>
      </w:r>
      <w:r>
        <w:rPr/>
        <w:t xml:space="preserve">, </w:t>
      </w:r>
      <w:r>
        <w:t>((</w:t>
      </w:r>
      <w:r>
        <w:rPr>
          <w:strike/>
        </w:rPr>
        <w:t xml:space="preserve">(ix)</w:t>
      </w:r>
      <w:r>
        <w:t>))</w:t>
      </w:r>
      <w:r>
        <w:rPr>
          <w:u w:val="single"/>
        </w:rPr>
        <w:t xml:space="preserve">(xvi)</w:t>
      </w:r>
      <w:r>
        <w:rPr/>
        <w:t xml:space="preserve">, or </w:t>
      </w:r>
      <w:r>
        <w:t>((</w:t>
      </w:r>
      <w:r>
        <w:rPr>
          <w:strike/>
        </w:rPr>
        <w:t xml:space="preserve">(x)</w:t>
      </w:r>
      <w:r>
        <w:t>))</w:t>
      </w:r>
      <w:r>
        <w:rPr>
          <w:u w:val="single"/>
        </w:rPr>
        <w:t xml:space="preserve">(xvii)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u w:val="single"/>
        </w:rPr>
        <w:t xml:space="preserve">(xix)</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u w:val="single"/>
        </w:rPr>
        <w:t xml:space="preserve">(xx)</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u w:val="single"/>
        </w:rPr>
        <w:t xml:space="preserve">(xxi)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u w:val="single"/>
        </w:rPr>
        <w:t xml:space="preserve">(xxii)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Adjustments to standard sentences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 </w:t>
      </w:r>
      <w:r>
        <w:rPr>
          <w:u w:val="single"/>
        </w:rPr>
        <w:t xml:space="preserve">The enhancement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240" w:after="0" w:line="408" w:lineRule="exact"/>
        <w:ind w:left="0" w:right="0" w:firstLine="576"/>
        <w:jc w:val="center"/>
      </w:pPr>
      <w:r>
        <w:rPr>
          <w:b/>
        </w:rPr>
        <w:t xml:space="preserve">Earned release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2014 c 130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t>
      </w:r>
      <w:r>
        <w:t>((</w:t>
      </w:r>
      <w:r>
        <w:rPr>
          <w:strike/>
        </w:rPr>
        <w:t xml:space="preserve">who</w:t>
      </w:r>
      <w:r>
        <w:t>))</w:t>
      </w:r>
      <w:r>
        <w:rPr>
          <w:u w:val="single"/>
        </w:rPr>
        <w:t xml:space="preserve">shall not receive any good time credits or earned release time for that portion of his or her sentence that results from:</w:t>
      </w:r>
    </w:p>
    <w:p>
      <w:pPr>
        <w:spacing w:before="0" w:after="0" w:line="408" w:lineRule="exact"/>
        <w:ind w:left="0" w:right="0" w:firstLine="576"/>
        <w:jc w:val="left"/>
      </w:pPr>
      <w:r>
        <w:rPr>
          <w:u w:val="single"/>
        </w:rPr>
        <w:t xml:space="preserve">(a) Any deadly weapon enhancements if he or she</w:t>
      </w:r>
      <w:r>
        <w:rPr/>
        <w:t xml:space="preserve"> has been convicted of a felony committed after July 23, 1995, that involves any applicable deadly weapon enhancements under RCW 9.94A.533 (3) or (4), or both</w:t>
      </w:r>
      <w:r>
        <w:t>((</w:t>
      </w:r>
      <w:r>
        <w:rPr>
          <w:strike/>
        </w:rPr>
        <w:t xml:space="preserve">, shall not receive any good time credits or earned release time for that portion of his or her sentence that results from any deadly weapon enhancements</w:t>
      </w:r>
      <w:r>
        <w:t>))</w:t>
      </w:r>
      <w:r>
        <w:rPr>
          <w:u w:val="single"/>
        </w:rPr>
        <w:t xml:space="preserve">;</w:t>
      </w:r>
    </w:p>
    <w:p>
      <w:pPr>
        <w:spacing w:before="0" w:after="0" w:line="408" w:lineRule="exact"/>
        <w:ind w:left="0" w:right="0" w:firstLine="576"/>
        <w:jc w:val="left"/>
      </w:pPr>
      <w:r>
        <w:rPr>
          <w:u w:val="single"/>
        </w:rPr>
        <w:t xml:space="preserve">(b) A vehicular homicide enhancement pursuant to RCW 9.94A.533(7);</w:t>
      </w:r>
    </w:p>
    <w:p>
      <w:pPr>
        <w:spacing w:before="0" w:after="0" w:line="408" w:lineRule="exact"/>
        <w:ind w:left="0" w:right="0" w:firstLine="576"/>
        <w:jc w:val="left"/>
      </w:pPr>
      <w:r>
        <w:rPr>
          <w:u w:val="single"/>
        </w:rPr>
        <w:t xml:space="preserve">(c) An attempting to elude a police vehicle enhancement pursuant to RCW 9.94A.533(11); or</w:t>
      </w:r>
    </w:p>
    <w:p>
      <w:pPr>
        <w:spacing w:before="0" w:after="0" w:line="408" w:lineRule="exact"/>
        <w:ind w:left="0" w:right="0" w:firstLine="576"/>
        <w:jc w:val="left"/>
      </w:pPr>
      <w:r>
        <w:rPr>
          <w:u w:val="single"/>
        </w:rPr>
        <w:t xml:space="preserve">(d) A minor child enhancement pursuant to RCW 9.94A.533(13)</w:t>
      </w:r>
      <w:r>
        <w:rPr/>
        <w:t xml:space="preserve">.</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9.94A.728(5);</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240" w:after="0" w:line="408" w:lineRule="exact"/>
        <w:ind w:left="0" w:right="0" w:firstLine="576"/>
        <w:jc w:val="center"/>
      </w:pPr>
      <w:r>
        <w:rPr>
          <w:b/>
        </w:rPr>
        <w:t xml:space="preserve">Right to control disposition of remains</w:t>
      </w:r>
      <w:r>
        <w:rPr>
          <w:rFonts w:ascii="Times New Roman" w:hAnsi="Times New Roman"/>
          <w:b/>
        </w:rPr>
        <w:t xml:space="preserve">—</w:t>
      </w:r>
      <w:r>
        <w:rPr>
          <w:b/>
        </w:rPr>
        <w:t xml:space="preserve">Liability of funeral establishment or cemetery authority</w:t>
      </w:r>
      <w:r>
        <w:rPr>
          <w:rFonts w:ascii="Times New Roman" w:hAnsi="Times New Roman"/>
          <w:b/>
        </w:rPr>
        <w:t xml:space="preserve">—</w:t>
      </w:r>
      <w:r>
        <w:rPr>
          <w:b/>
        </w:rPr>
        <w:t xml:space="preserve">Liability for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w:t>
      </w:r>
      <w:r>
        <w:t>((</w:t>
      </w:r>
      <w:r>
        <w:rPr>
          <w:strike/>
        </w:rPr>
        <w:t xml:space="preserve">or</w:t>
      </w:r>
      <w:r>
        <w:t>))</w:t>
      </w:r>
      <w:r>
        <w:rPr>
          <w:u w:val="single"/>
        </w:rPr>
        <w:t xml:space="preserve">,</w:t>
      </w:r>
      <w:r>
        <w:rPr/>
        <w:t xml:space="preserve"> first degree manslaughter</w:t>
      </w:r>
      <w:r>
        <w:rPr>
          <w:u w:val="single"/>
        </w:rPr>
        <w:t xml:space="preserve">, or vehicular homicide</w:t>
      </w:r>
      <w:r>
        <w:rPr/>
        <w:t xml:space="preserve">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shall have the right to rely on an authority to bury or cremate the human remains, executed by the most responsible party available, and the cemetery authority or funeral establishment may not be held criminally or civilly liable for burying or cremating the human remains. In the event any government agency or charitable organization provides the funds for the disposition of any human remains, the cemetery authority or funeral establishment may not be held criminally or civilly liable for cremating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300</w:t>
      </w:r>
      <w:r>
        <w:rPr/>
        <w:t xml:space="preserve"> and 2014 c 221 s 912 are each amended to read as follows:</w:t>
      </w:r>
    </w:p>
    <w:p>
      <w:pPr>
        <w:spacing w:before="0" w:after="0" w:line="408" w:lineRule="exact"/>
        <w:ind w:left="0" w:right="0" w:firstLine="576"/>
        <w:jc w:val="left"/>
      </w:pPr>
      <w:r>
        <w:t>((</w:t>
      </w:r>
      <w:r>
        <w:rPr>
          <w:strike/>
        </w:rPr>
        <w:t xml:space="preserve">There is created</w:t>
      </w:r>
      <w:r>
        <w:t>))</w:t>
      </w:r>
      <w:r>
        <w:rPr>
          <w:u w:val="single"/>
        </w:rPr>
        <w:t xml:space="preserve">When funded, the Washington association of sheriffs and police chiefs shall administer</w:t>
      </w:r>
      <w:r>
        <w:rPr/>
        <w:t xml:space="preserve"> a 24/7 sobriety program </w:t>
      </w:r>
      <w:r>
        <w:t>((</w:t>
      </w:r>
      <w:r>
        <w:rPr>
          <w:strike/>
        </w:rPr>
        <w:t xml:space="preserve">to be administered by the criminal justice training commission in conjunction with</w:t>
      </w:r>
      <w:r>
        <w:t>))</w:t>
      </w:r>
      <w:r>
        <w:rPr>
          <w:u w:val="single"/>
        </w:rPr>
        <w:t xml:space="preserve">. T</w:t>
      </w:r>
      <w:r>
        <w:rPr/>
        <w:t xml:space="preserve">he Washington association of sheriffs and police chiefs</w:t>
      </w:r>
      <w:r>
        <w:t>((</w:t>
      </w:r>
      <w:r>
        <w:rPr>
          <w:strike/>
        </w:rPr>
        <w:t xml:space="preserve">. The program</w:t>
      </w:r>
      <w:r>
        <w:t>))</w:t>
      </w:r>
      <w:r>
        <w:rPr/>
        <w:t xml:space="preserve"> shall coordinate efforts among various local government entities </w:t>
      </w:r>
      <w:r>
        <w:t>((</w:t>
      </w:r>
      <w:r>
        <w:rPr>
          <w:strike/>
        </w:rPr>
        <w:t xml:space="preserve">for the purpose of implementing alternatives to incarceration for offenders convicted under RCW 46.61.502 or 46.61.504 with one or more prior convictions under RCW 46.61.502 or 46.61.504</w:t>
      </w:r>
      <w:r>
        <w:t>))</w:t>
      </w:r>
      <w:r>
        <w:rPr>
          <w:u w:val="single"/>
        </w:rPr>
        <w:t xml:space="preserve">to establish a 24/7 sobriety program within their jurisdiction and to enhance pretrial and posttrial options for DUI offenders and offenders of other crimes in which the use of alcohol or drugs was a factor in the commission of the crime. The Washington association of sheriffs and police chiefs shall report on the status of the 24/7 sobriety program to the governor and appropriate committees of the legislature on an annual basis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 a</w:t>
      </w:r>
      <w:r>
        <w:t>))</w:t>
      </w:r>
      <w:r>
        <w:rPr>
          <w:u w:val="single"/>
        </w:rPr>
        <w:t xml:space="preserve">been charged with or convicted of a crime in which the use of alcohol or drugs as defined in RCW 46.61.540 was a contributing factor in the commission of the crime including, but not limited to,</w:t>
      </w:r>
      <w:r>
        <w:rPr/>
        <w:t xml:space="preserve"> violation of RCW 46.61.502 or 46.61.504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w:t>
      </w:r>
      <w:r>
        <w:t>((</w:t>
      </w:r>
      <w:r>
        <w:rPr>
          <w:strike/>
        </w:rPr>
        <w:t xml:space="preserve">or does not pay the required fees or associated costs</w:t>
      </w:r>
      <w:r>
        <w:t>))</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prohibited from approaching or communicating in any manner with particular persons or classes of persons;</w:t>
      </w:r>
    </w:p>
    <w:p>
      <w:pPr>
        <w:spacing w:before="0" w:after="0" w:line="408" w:lineRule="exact"/>
        <w:ind w:left="0" w:right="0" w:firstLine="576"/>
        <w:jc w:val="left"/>
      </w:pPr>
      <w:r>
        <w:rPr/>
        <w:t xml:space="preserve">(f) The defendant may be prohibited from going to certain geographical areas or premises;</w:t>
      </w:r>
    </w:p>
    <w:p>
      <w:pPr>
        <w:spacing w:before="0" w:after="0" w:line="408" w:lineRule="exact"/>
        <w:ind w:left="0" w:right="0" w:firstLine="576"/>
        <w:jc w:val="left"/>
      </w:pPr>
      <w:r>
        <w:rPr/>
        <w:t xml:space="preserve">(g) The defendant may be prohibited from possessing any dangerous weapons or firearms;</w:t>
      </w:r>
    </w:p>
    <w:p>
      <w:pPr>
        <w:spacing w:before="0" w:after="0" w:line="408" w:lineRule="exact"/>
        <w:ind w:left="0" w:right="0" w:firstLine="576"/>
        <w:jc w:val="left"/>
      </w:pPr>
      <w:r>
        <w:rPr/>
        <w:t xml:space="preserve">(h) The defendant may be prohibited from possessing or consuming any intoxicating liquors or drugs not prescribed to the defendant. The defendant may be required to submit to testing to determine the defendant's compliance with this condition</w:t>
      </w:r>
      <w:r>
        <w:rPr>
          <w:u w:val="single"/>
        </w:rPr>
        <w:t xml:space="preserve">, including participation in a 24/7 sobriety program</w:t>
      </w:r>
      <w:r>
        <w:rPr/>
        <w:t xml:space="preserve">;</w:t>
      </w:r>
    </w:p>
    <w:p>
      <w:pPr>
        <w:spacing w:before="0" w:after="0" w:line="408" w:lineRule="exact"/>
        <w:ind w:left="0" w:right="0" w:firstLine="576"/>
        <w:jc w:val="left"/>
      </w:pPr>
      <w:r>
        <w:rPr/>
        <w:t xml:space="preserve">(i) The defendant may be prohibited from operating a motor vehicle that is not equipped with an ignition interlock device;</w:t>
      </w:r>
    </w:p>
    <w:p>
      <w:pPr>
        <w:spacing w:before="0" w:after="0" w:line="408" w:lineRule="exact"/>
        <w:ind w:left="0" w:right="0" w:firstLine="576"/>
        <w:jc w:val="left"/>
      </w:pPr>
      <w:r>
        <w:rPr/>
        <w:t xml:space="preserve">(j)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(k)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12e31166bbbf45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22acc15bb4aa0" /><Relationship Type="http://schemas.openxmlformats.org/officeDocument/2006/relationships/footer" Target="/word/footer.xml" Id="R12e31166bbbf45f6" /></Relationships>
</file>