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607b29644748cc" /></Relationships>
</file>

<file path=word/document.xml><?xml version="1.0" encoding="utf-8"?>
<w:document xmlns:w="http://schemas.openxmlformats.org/wordprocessingml/2006/main">
  <w:body>
    <w:p>
      <w:r>
        <w:t>H-3883.1</w:t>
      </w:r>
    </w:p>
    <w:p>
      <w:pPr>
        <w:jc w:val="center"/>
      </w:pPr>
      <w:r>
        <w:t>_______________________________________________</w:t>
      </w:r>
    </w:p>
    <w:p/>
    <w:p>
      <w:pPr>
        <w:jc w:val="center"/>
      </w:pPr>
      <w:r>
        <w:rPr>
          <w:b/>
        </w:rPr>
        <w:t>THIRD SUBSTITUTE HOUSE BILL 1295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Hudgins, Magendanz, S. Hunt, Walsh, Walkinshaw, Lytton, Senn, Jinkins, Sawyer, Stokesbary, Reykdal, Robinson, McBride, Stanford, Tharinger, Bergquist, Clibborn, Pollet, Fey, Gregerson, and Tarleton)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breakfast after the bell programs in certain public schools; amending RCW 28A.150.205; adding new sections to chapter 28A.235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spacing w:before="0" w:after="0" w:line="408" w:lineRule="exact"/>
        <w:ind w:left="0" w:right="0" w:firstLine="576"/>
        <w:jc w:val="left"/>
      </w:pPr>
      <w:r>
        <w:rPr/>
        <w:t xml:space="preserve">(2) The legislature intends to establish a process for providing breakfast after the bell in high-needs schools beginning in the 2016-17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spacing w:before="0" w:after="0" w:line="408" w:lineRule="exact"/>
        <w:ind w:left="0" w:right="0" w:firstLine="576"/>
        <w:jc w:val="left"/>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spacing w:before="0" w:after="0" w:line="408" w:lineRule="exact"/>
        <w:ind w:left="0" w:right="0" w:firstLine="576"/>
        <w:jc w:val="left"/>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Beginning in the 2017-18 school year, except as provided in subsection (2) of this section, each high-needs school shall offer breakfast after the bell to each student and provide adequate time for students to eat. The state shall provide and the office of the superintendent of public instruction shall administer, one-time start-up allocation grants of six thousand dollars to each high-needs school implementing a breakfast after the bell program. The grant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(b) All public schools are encouraged to offer breakfast after the bell even if not required to do so under this section.</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w:t>
      </w:r>
    </w:p>
    <w:p>
      <w:pPr>
        <w:spacing w:before="0" w:after="0" w:line="408" w:lineRule="exact"/>
        <w:ind w:left="0" w:right="0" w:firstLine="576"/>
        <w:jc w:val="left"/>
      </w:pPr>
      <w:r>
        <w:rPr/>
        <w:t xml:space="preserve">(5)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2017, the office of the superintendent of public instruction shall develop and distribute procedures and guidelines for the implementation of section 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As long as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defined in section 2 of this act, must be considered instructional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school districts, and affected schools shall implement the provisions of this act only after funding is specifically provided for the purposes of the act, referencing this act by bill or chapter number, in a biennial or supplemental operating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may convene a work group to determine how to reduce the sugar content in all school meals with the goal of reaching twenty-five percent by weight added sugar. Any report or recommendations from this work group should be submitted to the appropriate committees of the legislature and to school districts.</w:t>
      </w:r>
    </w:p>
    <w:p/>
    <w:p>
      <w:pPr>
        <w:jc w:val="center"/>
      </w:pPr>
      <w:r>
        <w:rPr>
          <w:b/>
        </w:rPr>
        <w:t>--- END ---</w:t>
      </w:r>
    </w:p>
    <w:sectPr>
      <w:pgNumType w:start="1"/>
      <w:footerReference xmlns:r="http://schemas.openxmlformats.org/officeDocument/2006/relationships" r:id="R2d8ae69d964241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3738630c5420b" /><Relationship Type="http://schemas.openxmlformats.org/officeDocument/2006/relationships/footer" Target="/word/footer.xml" Id="R2d8ae69d96424158" /></Relationships>
</file>