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345eb472f14e4c" /></Relationships>
</file>

<file path=word/document.xml><?xml version="1.0" encoding="utf-8"?>
<w:document xmlns:w="http://schemas.openxmlformats.org/wordprocessingml/2006/main">
  <w:body>
    <w:p>
      <w:r>
        <w:t>H-0649.1</w:t>
      </w:r>
    </w:p>
    <w:p>
      <w:pPr>
        <w:jc w:val="center"/>
      </w:pPr>
      <w:r>
        <w:t>_______________________________________________</w:t>
      </w:r>
    </w:p>
    <w:p/>
    <w:p>
      <w:pPr>
        <w:jc w:val="center"/>
      </w:pPr>
      <w:r>
        <w:rPr>
          <w:b/>
        </w:rPr>
        <w:t>HOUSE BILL 1332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Hurst, and Kirby</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yellow light intervals and monetary penalties related to automated traffic safety cameras; and amending RCW 46.63.170.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Use of automated traffic safety cameras is restricted to the following locations only: (i) Intersections of two arterials with traffic control signals that have yellow change interval durations </w:t>
      </w:r>
      <w:r>
        <w:t>((</w:t>
      </w:r>
      <w:r>
        <w:rPr>
          <w:strike/>
        </w:rPr>
        <w:t xml:space="preserve">in accordance with RCW 47.36.022, which interval durations</w:t>
      </w:r>
      <w:r>
        <w:t>))</w:t>
      </w:r>
      <w:r>
        <w:rPr>
          <w:u w:val="single"/>
        </w:rPr>
        <w:t xml:space="preserve">of at least four seconds, which</w:t>
      </w:r>
      <w:r>
        <w:rPr/>
        <w:t xml:space="preserve"> may not be reduced after placement of the camera; (ii) railroad crossings; and (iii) school speed zones.</w:t>
      </w:r>
    </w:p>
    <w:p>
      <w:pPr>
        <w:spacing w:before="0" w:after="0" w:line="408" w:lineRule="exact"/>
        <w:ind w:left="0" w:right="0" w:firstLine="576"/>
        <w:jc w:val="left"/>
      </w:pPr>
      <w:r>
        <w:rPr/>
        <w:t xml:space="preserve">(c) During the 2011-2013 and 2013-2015 fiscal biennia, automated traffic safety cameras may be used to detect speed violations for the purposes of section 201(2), chapter 367, Laws of 2011 and section 201(4), chapter 306, Laws of 2013 if the local legislative authority first enacts an ordinance authorizing the use of cameras to detect speed violations.</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u w:val="single"/>
        </w:rPr>
        <w:t xml:space="preserve">(2)</w:t>
      </w:r>
      <w:r>
        <w:rPr/>
        <w:t xml:space="preserve">. The amount of the fine issued for an infraction generated through the use of an automated traffic safety camera shall not exceed </w:t>
      </w:r>
      <w:r>
        <w:t>((</w:t>
      </w:r>
      <w:r>
        <w:rPr>
          <w:strike/>
        </w:rPr>
        <w:t xml:space="preserve">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r>
        <w:t>))</w:t>
      </w:r>
      <w:r>
        <w:rPr>
          <w:u w:val="single"/>
        </w:rPr>
        <w:t xml:space="preserve">twenty-five dollars</w:t>
      </w:r>
      <w:r>
        <w:rPr/>
        <w:t xml:space="preserve">.</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2011-2013 and 2013-2015 fiscal biennia, an automated traffic safety camera includes a camera used to detect speed violations for the purposes of section 201(2), chapter 367, Laws of 2011 and section 201(4), chapter 306, Laws of 2013.</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
      <w:pPr>
        <w:jc w:val="center"/>
      </w:pPr>
      <w:r>
        <w:rPr>
          <w:b/>
        </w:rPr>
        <w:t>--- END ---</w:t>
      </w:r>
    </w:p>
    <w:sectPr>
      <w:pgNumType w:start="1"/>
      <w:footerReference xmlns:r="http://schemas.openxmlformats.org/officeDocument/2006/relationships" r:id="Rdf3e81a1de40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1ac29982748b9" /><Relationship Type="http://schemas.openxmlformats.org/officeDocument/2006/relationships/footer" Target="/word/footer.xml" Id="Rdf3e81a1de404c79" /></Relationships>
</file>