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71f64586444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Farrell, Carlyle, Fitzgibbon, Ortiz-Self, Peterson, Walkinshaw, Gregerson, Senn, McBride, Robinson, Tarleton, Pollet, Cody, Ormsby, Riccelli, Kagi, Blake, Fey, Hudgins, Lytton, Bergquist, Sells, Takko, Tharinger, Jinkins, Wylie, S. Hunt, Stanford, Reykdal, Sawyer, Appleton, Van De Wege, Clibborn, Ryu, Goodman, and Kilduff; by request of Governor Inslee)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90.56.005, 90.56.010, 90.56.200, 90.56.210, 90.56.500, 90.56.510, 88.40.011, 88.40.025, 88.40.030, 88.40.040, 88.16.170, 88.16.190, 82.23B.010, 82.23B.020, 82.23B.030, 82.23B.040, 81.24.010, 81.53.010, 81.53.240, and 88.46.180; reenacting and amending RCW 88.46.010, 88.40.020, 38.52.040, and 42.56.270; adding new sections to chapter 90.56 RCW; adding a new section to chapter 81.44 RCW; adding a new section to chapter 81.53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rPr>
          <w:u w:val="single"/>
        </w:rPr>
        <w:t xml:space="preserve">or threats of spills</w:t>
      </w:r>
      <w:r>
        <w:rPr/>
        <w:t xml:space="preserve"> of crude oil or petroleum products into the </w:t>
      </w:r>
      <w:r>
        <w:t>((</w:t>
      </w:r>
      <w:r>
        <w:rPr>
          <w:strike/>
        </w:rPr>
        <w:t xml:space="preserve">navigable</w:t>
      </w:r>
      <w:r>
        <w:t>))</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department must be provided prior notice before a crude oil transfer, that is regulated under this chapter and that may impact waters of the state, occurs between:</w:t>
      </w:r>
    </w:p>
    <w:p>
      <w:pPr>
        <w:spacing w:before="0" w:after="0" w:line="408" w:lineRule="exact"/>
        <w:ind w:left="0" w:right="0" w:firstLine="576"/>
        <w:jc w:val="left"/>
      </w:pPr>
      <w:r>
        <w:rPr/>
        <w:t xml:space="preserve">(i) A railroad facility and another facility; or</w:t>
      </w:r>
    </w:p>
    <w:p>
      <w:pPr>
        <w:spacing w:before="0" w:after="0" w:line="408" w:lineRule="exact"/>
        <w:ind w:left="0" w:right="0" w:firstLine="576"/>
        <w:jc w:val="left"/>
      </w:pPr>
      <w:r>
        <w:rPr/>
        <w:t xml:space="preserve">(ii) A railroad facility and a covered vessel.</w:t>
      </w:r>
    </w:p>
    <w:p>
      <w:pPr>
        <w:spacing w:before="0" w:after="0" w:line="408" w:lineRule="exact"/>
        <w:ind w:left="0" w:right="0" w:firstLine="576"/>
        <w:jc w:val="left"/>
      </w:pPr>
      <w:r>
        <w:rPr/>
        <w:t xml:space="preserve">(b) The notice required in (a) of this subsection is in addition to the requirements found in RCW 88.46.165 and must rely on the "advanced notice of transfer" system used by the department. The notice must include the volume of the oil to be transferred, location of transfer, vapor pressure of the oil to be transferred, gravity of the oil, as measured by the American petroleum institute, to be transferred, and the twenty-four hour range of time within which the oil transfer is anticipated to occur. The department shall adopt rules under this section.</w:t>
      </w:r>
    </w:p>
    <w:p>
      <w:pPr>
        <w:spacing w:before="0" w:after="0" w:line="408" w:lineRule="exact"/>
        <w:ind w:left="0" w:right="0" w:firstLine="576"/>
        <w:jc w:val="left"/>
      </w:pPr>
      <w:r>
        <w:rPr/>
        <w:t xml:space="preserve">(2) Twice per year, pipelines must report to the department the volume of oil, gravity of the oil, as measured by the American petroleum institute, vapor pressure of the oil, and types of diluting agents in the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 web site. Data reported with respect to oil transportation must be aggregated on a statewide basis,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0" w:after="0" w:line="408" w:lineRule="exact"/>
        <w:ind w:left="0" w:right="0" w:firstLine="576"/>
        <w:jc w:val="left"/>
      </w:pPr>
      <w:r>
        <w:rPr/>
        <w:t xml:space="preserve">(4) Consistent with RCW 42.56.270, the department, as well as other entities that receive shared information from the department under this section, may not disclose individual, nonaggregated notices of transfers involving a railroad facility submitted to the department under subsection (1)(a) of this section or information submitted to the department under subsection (2) of this section regarding the diluting agents contained in oil transported by pipeline. However, the department may share unaggregated information collected pursuant to subsections (1) and (2) of this section:</w:t>
      </w:r>
    </w:p>
    <w:p>
      <w:pPr>
        <w:spacing w:before="0" w:after="0" w:line="408" w:lineRule="exact"/>
        <w:ind w:left="0" w:right="0" w:firstLine="576"/>
        <w:jc w:val="left"/>
      </w:pPr>
      <w:r>
        <w:rPr/>
        <w:t xml:space="preserve">(a) For use by a local emergency planning committee for the purposes of RCW 38.52.040; and</w:t>
      </w:r>
    </w:p>
    <w:p>
      <w:pPr>
        <w:spacing w:before="0" w:after="0" w:line="408" w:lineRule="exact"/>
        <w:ind w:left="0" w:right="0" w:firstLine="576"/>
        <w:jc w:val="left"/>
      </w:pPr>
      <w:r>
        <w:rPr/>
        <w:t xml:space="preserve">(b) For use by state or local police departments, fire departments, paramedics, and other state or local government personnel with an official emergency management or emergency response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reasonable worst case spill volume, as measured in barrels</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(3)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(5)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state board of pilotage commissioners, in consultation with the department of ecology and relying on the results of vessel traffic risk assessments, may write rules to implement this subsection (1)(b), but only after an event described in subsection (2) of this section takes place and only for the waters directly affected by the facility event. These rules may include tug escort requirements and other safety measures for oil tankers of greater than forty thousand deadweight tons, all articulated tug barges, and other towed waterborne vessels or barges that may apply in the following areas consistent with subsections (3)(a) and (5)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Any inland portion of the Columbia river or within three miles of Cape Disappointment at the mouth of the Columbia river; or</w:t>
      </w:r>
    </w:p>
    <w:p>
      <w:pPr>
        <w:spacing w:before="0" w:after="0" w:line="408" w:lineRule="exact"/>
        <w:ind w:left="0" w:right="0" w:firstLine="576"/>
        <w:jc w:val="left"/>
      </w:pPr>
      <w:r>
        <w:rPr>
          <w:u w:val="single"/>
        </w:rPr>
        <w:t xml:space="preserve">(iii) The waters identified in (a) of this subsection.</w:t>
      </w:r>
    </w:p>
    <w:p>
      <w:pPr>
        <w:spacing w:before="0" w:after="0" w:line="408" w:lineRule="exact"/>
        <w:ind w:left="0" w:right="0" w:firstLine="576"/>
        <w:jc w:val="left"/>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(3)(a) and (5) of this section: The waters described in (a) of this subsection, including all narrow channels of the San Juan Islands archipelago, Rosario Strait, Haro Strait, Boundary Pass, and connected waterways.</w:t>
      </w:r>
    </w:p>
    <w:p>
      <w:pPr>
        <w:spacing w:before="0" w:after="0" w:line="408" w:lineRule="exact"/>
        <w:ind w:left="0" w:right="0" w:firstLine="576"/>
        <w:jc w:val="left"/>
      </w:pPr>
      <w:r>
        <w:rPr>
          <w:u w:val="single"/>
        </w:rPr>
        <w:t xml:space="preserve">(2) The state board of pilotage commissioners may adopt rules under subsection (1)(b) of this section only after: </w:t>
      </w:r>
    </w:p>
    <w:p>
      <w:pPr>
        <w:spacing w:before="0" w:after="0" w:line="408" w:lineRule="exact"/>
        <w:ind w:left="0" w:right="0" w:firstLine="576"/>
        <w:jc w:val="left"/>
      </w:pPr>
      <w:r>
        <w:rPr>
          <w:u w:val="single"/>
        </w:rPr>
        <w:t xml:space="preserve">(a) The governor approves, after January 1, 2015, a recommendation of the energy facility site evaluation council pursuant to RCW 80.50.100 to certify a facility meeting the criteria listed in RCW 80.50.020(12) (d) or (f);</w:t>
      </w:r>
    </w:p>
    <w:p>
      <w:pPr>
        <w:spacing w:before="0" w:after="0" w:line="408" w:lineRule="exact"/>
        <w:ind w:left="0" w:right="0" w:firstLine="576"/>
        <w:jc w:val="left"/>
      </w:pPr>
      <w:r>
        <w:rPr>
          <w:u w:val="single"/>
        </w:rPr>
        <w:t xml:space="preserve">(b) A state agency or a local jurisdiction makes a final determination or issues a final permit after January 1, 2015, to site a new facility required to have a contingency plan pursuant to chapter 90.56 RCW or to provide authority for the first time to process or receive crude oil, as defined in chapter 90.56 RCW, to an existing facility required to have a contingency plan pursuant to chapter 90.56 RCW, other than a facility that is:</w:t>
      </w:r>
    </w:p>
    <w:p>
      <w:pPr>
        <w:spacing w:before="0" w:after="0" w:line="408" w:lineRule="exact"/>
        <w:ind w:left="0" w:right="0" w:firstLine="576"/>
        <w:jc w:val="left"/>
      </w:pPr>
      <w:r>
        <w:rPr>
          <w:u w:val="single"/>
        </w:rPr>
        <w:t xml:space="preserve">(i) A transmission pipeline; or</w:t>
      </w:r>
    </w:p>
    <w:p>
      <w:pPr>
        <w:spacing w:before="0" w:after="0" w:line="408" w:lineRule="exact"/>
        <w:ind w:left="0" w:right="0" w:firstLine="576"/>
        <w:jc w:val="left"/>
      </w:pPr>
      <w:r>
        <w:rPr>
          <w:u w:val="single"/>
        </w:rPr>
        <w:t xml:space="preserve">(ii) A railroad facility; or</w:t>
      </w:r>
    </w:p>
    <w:p>
      <w:pPr>
        <w:spacing w:before="0" w:after="0" w:line="408" w:lineRule="exact"/>
        <w:ind w:left="0" w:right="0" w:firstLine="576"/>
        <w:jc w:val="left"/>
      </w:pPr>
      <w:r>
        <w:rPr>
          <w:u w:val="single"/>
        </w:rPr>
        <w:t xml:space="preserve">(c) The state of Oregon or any local jurisdiction in Oregon makes a final determination or issues a final permit to site a new facility in the watershed of the Columbia river that would be required to have a contingency plan pursuant to chapter 90.56 RCW if an identical facility were located in Washington, or to provide authority for the first time to process or receive crude oil, as defined in chapter 90.56 RCW, to an existing facility that would be required to have a contingency plan pursuant to chapter 90.56 RCW if an identical facility were located in Washington, other than a facility that is:</w:t>
      </w:r>
    </w:p>
    <w:p>
      <w:pPr>
        <w:spacing w:before="0" w:after="0" w:line="408" w:lineRule="exact"/>
        <w:ind w:left="0" w:right="0" w:firstLine="576"/>
        <w:jc w:val="left"/>
      </w:pPr>
      <w:r>
        <w:rPr>
          <w:u w:val="single"/>
        </w:rPr>
        <w:t xml:space="preserve">(i) A transmission pipeline; or</w:t>
      </w:r>
    </w:p>
    <w:p>
      <w:pPr>
        <w:spacing w:before="0" w:after="0" w:line="408" w:lineRule="exact"/>
        <w:ind w:left="0" w:right="0" w:firstLine="576"/>
        <w:jc w:val="left"/>
      </w:pPr>
      <w:r>
        <w:rPr>
          <w:u w:val="single"/>
        </w:rPr>
        <w:t xml:space="preserve">(ii) A railroad facility.</w:t>
      </w:r>
    </w:p>
    <w:p>
      <w:pPr>
        <w:spacing w:before="0" w:after="0" w:line="408" w:lineRule="exact"/>
        <w:ind w:left="0" w:right="0" w:firstLine="576"/>
        <w:jc w:val="left"/>
      </w:pPr>
      <w:r>
        <w:rPr>
          <w:u w:val="single"/>
        </w:rPr>
        <w:t xml:space="preserve">(3)(a)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(4)(a) Prior to proceeding with rule making as authorized under subsection (1)(b) and (c) of this section, the state board of pilotage commissioners must collaborate with the United States coast guard, the Oregon board of maritime pilots, the Puget Sound, Grays Harbor, and Columbia river harbor safety committees, area tribes, public ports in Oregon and Washington, local governments, and other appropriate entities. In adopting rules, the state board of pilotage commissioners must take into account any tug escort or other maritime safety measures for a water body that were or are required as mitigation or as a condition of a facility siting decision by a state agency or local jurisdiction.</w:t>
      </w:r>
    </w:p>
    <w:p>
      <w:pPr>
        <w:spacing w:before="0" w:after="0" w:line="408" w:lineRule="exact"/>
        <w:ind w:left="0" w:right="0" w:firstLine="576"/>
        <w:jc w:val="left"/>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 In order for the state board of pilotage commissioners to rely on a vessel traffic risk assessment that is conducted after January 1, 2015, the vessel traffic risk assessment must involve a simulation analysis of vessel traffic. A simulation analysis is not required of a vessel traffic risk assessment relied upon by the state board of pilotage commissioners that was conducted before January 1, 2015.</w:t>
      </w:r>
    </w:p>
    <w:p>
      <w:pPr>
        <w:spacing w:before="0" w:after="0" w:line="408" w:lineRule="exact"/>
        <w:ind w:left="0" w:right="0" w:firstLine="576"/>
        <w:jc w:val="left"/>
      </w:pPr>
      <w:r>
        <w:rPr>
          <w:u w:val="single"/>
        </w:rPr>
        <w:t xml:space="preserve">(5)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(6)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(7) The provisions of this section do not apply to pilotage for enrolled tankers.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eight</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 and one-half</w:t>
      </w:r>
      <w:r>
        <w:t>))</w:t>
      </w:r>
      <w:r>
        <w:rPr/>
        <w:t xml:space="preserve"> </w:t>
      </w:r>
      <w:r>
        <w:rPr>
          <w:u w:val="single"/>
        </w:rPr>
        <w:t xml:space="preserve">two-tenths of one</w:t>
      </w:r>
      <w:r>
        <w:rPr/>
        <w:t xml:space="preserve"> percent of its </w:t>
      </w:r>
      <w:r>
        <w:rPr>
          <w:u w:val="single"/>
        </w:rPr>
        <w:t xml:space="preserve">combined</w:t>
      </w:r>
      <w:r>
        <w:rPr/>
        <w:t xml:space="preserve"> intrastate gross operating revenue </w:t>
      </w:r>
      <w:r>
        <w:rPr>
          <w:u w:val="single"/>
        </w:rPr>
        <w:t xml:space="preserve">and the Washington state portion of its gross interstate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(23)(a) Notices of a transfer of crude oil submitted to the department of ecology pursuant to section 8(1)(a) of this act and that is in the possession of the department of ecology or any entity with which the department of ecology has shared the notice pursuant to section 8(4) of this act; and </w:t>
      </w:r>
    </w:p>
    <w:p>
      <w:pPr>
        <w:spacing w:before="0" w:after="0" w:line="408" w:lineRule="exact"/>
        <w:ind w:left="0" w:right="0" w:firstLine="576"/>
        <w:jc w:val="left"/>
      </w:pPr>
      <w:r>
        <w:rPr>
          <w:u w:val="single"/>
        </w:rPr>
        <w:t xml:space="preserve">(b) Information submitted to the department of ecology by pipelines pursuant to section 8(2) of this act that is related to diluting agents contained in transported oil and that is in the possession of the department of ecology or any entity with which the department of ecology has shared the information pursuant to section 8(4)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3a20573bb1640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a269507554a21" /><Relationship Type="http://schemas.openxmlformats.org/officeDocument/2006/relationships/footer" Target="/word/footer.xml" Id="Ra3a20573bb164037" /></Relationships>
</file>