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722168ac048d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Rodne, Walkinshaw, Harris, Cody, Goodman, Senn, Walsh, Riccelli, Robinson, Orwall, Moeller, Gregerson, Van De Wege, Ormsby, Clibborn, McBride, Tharinger, Kagi, and Stanford)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71.05.290, 71.05.320, 71.05.340, 71.05.730, 71.05.730, 71.24.330, and 71.24.330; reenacting and amending RCW 71.05.020 and 71.05.020; adding new sections to chapter 71.05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outpatient treatment that would be provided under a less restrictive alternative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that includes the services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outpatient treatment that would be provided under a less restrictive alternative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than inpatient treatment that includes the services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mental health treatment, the petition may only be for an outpatient evaluation. If the petition is for an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15 of this act</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u w:val="single"/>
        </w:rPr>
        <w:t xml:space="preserve">(c) An order for less restrictive alternative treatment must identify the services the person will receive, in accordance with section 15 of this act. If the petitioner did not set forth a proposed less restrictive alternative treatment plan, the court may postpone the issuance of the order for up to five judicial days and require the petitioner to submit a proposal for less restrictive alternative treatment services.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15 of this act.</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w:t>
      </w:r>
      <w:r>
        <w:rPr>
          <w:u w:val="single"/>
        </w:rPr>
        <w:t xml:space="preserve">An order for less restrictive alternative treatment entered under subsection (2) of this section must identify the services the person will receive, in accordance with section 15 of this act. If the petitioner did not set forth a proposed plan for less restrictive alternative services, the court may postpone the issuance of the order for up to five judicial days and require the petitioner to submit a proposal for less restrictive alternative services.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15 of this act.</w:t>
      </w:r>
    </w:p>
    <w:p>
      <w:pPr>
        <w:spacing w:before="0" w:after="0" w:line="408" w:lineRule="exact"/>
        <w:ind w:left="0" w:right="0" w:firstLine="576"/>
        <w:jc w:val="left"/>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15 of this act. If the petitioner did not set forth a proposed plan for less restrictive alternative services, the court may postpone the issuance of the order for up to five judicial days and require the petitioner to submit a proposal for less restrictive alternative services.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(4)(e) of this section</w:t>
      </w:r>
      <w:r>
        <w:rPr/>
        <w:t xml:space="preserve"> is not permissible under </w:t>
      </w:r>
      <w:r>
        <w:rPr>
          <w:u w:val="single"/>
        </w:rPr>
        <w:t xml:space="preserve">this</w:t>
      </w:r>
      <w:r>
        <w:rPr/>
        <w:t xml:space="preserve"> subsection </w:t>
      </w:r>
      <w:r>
        <w:t>((</w:t>
      </w:r>
      <w:r>
        <w:rPr>
          <w:strike/>
        </w:rPr>
        <w:t xml:space="preserve">(4) of this section</w:t>
      </w:r>
      <w:r>
        <w:t>))</w:t>
      </w:r>
      <w:r>
        <w:rPr/>
        <w:t xml:space="preserve"> if </w:t>
      </w:r>
      <w:r>
        <w:t>((</w:t>
      </w:r>
      <w:r>
        <w:rPr>
          <w:strike/>
        </w:rPr>
        <w:t xml:space="preserve">thirty-six months have passed since the last date of discharge from detention for inpatient treatment that preceded the current less restrictive alternative order, nor shall a commitment under subsection (4) of this section be permissible if</w:t>
      </w:r>
      <w:r>
        <w:t>))</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71.05.020(46)(e)</w:t>
      </w:r>
      <w:r>
        <w:rPr/>
        <w:t xml:space="preserve"> is based solely on harm to the property of others.</w:t>
      </w:r>
    </w:p>
    <w:p>
      <w:pPr>
        <w:spacing w:before="0" w:after="0" w:line="408" w:lineRule="exact"/>
        <w:ind w:left="0" w:right="0" w:firstLine="576"/>
        <w:jc w:val="left"/>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 </w:t>
      </w:r>
      <w:r>
        <w:rPr>
          <w:u w:val="single"/>
        </w:rPr>
        <w:t xml:space="preserve">If any of the conditions listed in this subsection (3)(d) have occurred and the person is committed solely based on being in need of assisted outpatient mental health treatment, the court shall determine whether the terms of the order should be modified or if proceedings should be initiated under RCW 71.05.150.</w:t>
      </w:r>
    </w:p>
    <w:p>
      <w:pPr>
        <w:spacing w:before="0" w:after="0" w:line="408" w:lineRule="exact"/>
        <w:ind w:left="0" w:right="0" w:firstLine="576"/>
        <w:jc w:val="left"/>
      </w:pPr>
      <w:r>
        <w:rPr/>
        <w:t xml:space="preserve">(e) </w:t>
      </w:r>
      <w:r>
        <w:rPr>
          <w:u w:val="single"/>
        </w:rPr>
        <w:t xml:space="preserve">In determining whether or not to modify the terms of conditional release or return the person to the facility:</w:t>
      </w:r>
    </w:p>
    <w:p>
      <w:pPr>
        <w:spacing w:before="0" w:after="0" w:line="408" w:lineRule="exact"/>
        <w:ind w:left="0" w:right="0" w:firstLine="576"/>
        <w:jc w:val="left"/>
      </w:pPr>
      <w:r>
        <w:rPr>
          <w:u w:val="single"/>
        </w:rPr>
        <w:t xml:space="preserve">(i) The court must consider the symptoms and behavior of the person in light of all available evidence concerning the person's historical behavior, which may include information provided by credible witnesses as defined in RCW 71.05.212(2); and</w:t>
      </w:r>
    </w:p>
    <w:p>
      <w:pPr>
        <w:spacing w:before="0" w:after="0" w:line="408" w:lineRule="exact"/>
        <w:ind w:left="0" w:right="0" w:firstLine="576"/>
        <w:jc w:val="left"/>
      </w:pPr>
      <w:r>
        <w:rPr>
          <w:u w:val="single"/>
        </w:rPr>
        <w:t xml:space="preserve">(ii) If the petition is based on the person's failure to adhere to the terms or conditions of his or her release, the court must give great weight to information regarding symptoms or behavior that: (A) Are closely associated with symptoms or behavior which preceded and led to a past incident of involuntary hospitalization, severe deterioration, or one or more violent acts; (B) represent a marked and concerning change in the baseline behavior of the person; and (C) indicate that without modified terms or return of the person to the facility, continued deterioration is probable.</w:t>
      </w:r>
    </w:p>
    <w:p>
      <w:pPr>
        <w:spacing w:before="0" w:after="0" w:line="408" w:lineRule="exact"/>
        <w:ind w:left="0" w:right="0" w:firstLine="576"/>
        <w:jc w:val="left"/>
      </w:pPr>
      <w:r>
        <w:rPr>
          <w:u w:val="single"/>
        </w:rPr>
        <w:t xml:space="preserve">(f)</w:t>
      </w:r>
      <w:r>
        <w:rPr/>
        <w:t xml:space="preserv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r>
        <w:rPr>
          <w:u w:val="single"/>
        </w:rPr>
        <w:t xml:space="preserve">, except that if inpatient treatment is sought for a person committed based solely on being in need of assisted outpatient mental health treatment, such treatment must be initiated under a new petition for involuntary treatment under RCW 71.05.150</w:t>
      </w:r>
      <w:r>
        <w:rPr/>
        <w:t xml:space="preserve">.</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spacing w:before="0" w:after="0" w:line="408" w:lineRule="exact"/>
        <w:ind w:left="0" w:right="0" w:firstLine="576"/>
        <w:jc w:val="left"/>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regional support network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spacing w:before="0" w:after="0" w:line="408" w:lineRule="exact"/>
        <w:ind w:left="0" w:right="0" w:firstLine="576"/>
        <w:jc w:val="left"/>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behavioral health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 and</w:t>
      </w:r>
    </w:p>
    <w:p>
      <w:pPr>
        <w:spacing w:before="0" w:after="0" w:line="408" w:lineRule="exact"/>
        <w:ind w:left="0" w:right="0" w:firstLine="576"/>
        <w:jc w:val="left"/>
      </w:pPr>
      <w:r>
        <w:rPr/>
        <w:t xml:space="preserve">(d) Support for housing, benefits, education, and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spacing w:before="0" w:after="0" w:line="408" w:lineRule="exact"/>
        <w:ind w:left="0" w:right="0" w:firstLine="576"/>
        <w:jc w:val="left"/>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regional support networks as provided in chapter 70.320 RCW.</w:t>
      </w:r>
    </w:p>
    <w:p>
      <w:pPr>
        <w:spacing w:before="0" w:after="0" w:line="408" w:lineRule="exact"/>
        <w:ind w:left="0" w:right="0" w:firstLine="576"/>
        <w:jc w:val="left"/>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regional support network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 and</w:t>
      </w:r>
    </w:p>
    <w:p>
      <w:pPr>
        <w:spacing w:before="0" w:after="0" w:line="408" w:lineRule="exact"/>
        <w:ind w:left="0" w:right="0" w:firstLine="576"/>
        <w:jc w:val="left"/>
      </w:pPr>
      <w:r>
        <w:rPr>
          <w:u w:val="single"/>
        </w:rPr>
        <w:t xml:space="preserve">(h) Require regional support networks to provide services as identified in section 15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regional support network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regional support network has adequate available resources to provide the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 and</w:t>
      </w:r>
    </w:p>
    <w:p>
      <w:pPr>
        <w:spacing w:before="0" w:after="0" w:line="408" w:lineRule="exact"/>
        <w:ind w:left="0" w:right="0" w:firstLine="576"/>
        <w:jc w:val="left"/>
      </w:pPr>
      <w:r>
        <w:rPr>
          <w:u w:val="single"/>
        </w:rPr>
        <w:t xml:space="preserve">(h) Require behavioral health organizations to provide services as identified in section 15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behavioral health organization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organization has adequate available resources to provide the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13, and 17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14, and 18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dadbd6b8733a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7db13184d442d" /><Relationship Type="http://schemas.openxmlformats.org/officeDocument/2006/relationships/footer" Target="/word/footer.xml" Id="Rdadbd6b8733a43b5" /></Relationships>
</file>