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c8bebf1424fac" /></Relationships>
</file>

<file path=word/document.xml><?xml version="1.0" encoding="utf-8"?>
<w:document xmlns:w="http://schemas.openxmlformats.org/wordprocessingml/2006/main">
  <w:body>
    <w:p>
      <w:r>
        <w:t>H-1885.1</w:t>
      </w:r>
    </w:p>
    <w:p>
      <w:pPr>
        <w:jc w:val="center"/>
      </w:pPr>
      <w:r>
        <w:t>_______________________________________________</w:t>
      </w:r>
    </w:p>
    <w:p/>
    <w:p>
      <w:pPr>
        <w:jc w:val="center"/>
      </w:pPr>
      <w:r>
        <w:rPr>
          <w:b/>
        </w:rPr>
        <w:t>SUBSTITUTE HOUSE BILL 1458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Orwall, Goodman, Pettigrew, Ryu, Stanford, Gregerson, Jinkins, Bergquist, McBride, Magendanz, Cody, Kagi, S. Hunt, and Pollet; by request of Attorney General)</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and amending RCW 70.155.005, 26.28.080, 70.155.010, 70.155.020, 70.155.030, 70.155.080, 70.155.110, and 70.155.120.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2015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Almost all adults who smoke started smoking when they were teenagers. At the same time, according to the 2012 healthy youth survey, forty-six percent of tenth graders say it is "sort of easy" to "very easy" to get cigarettes. Of these tenth graders who smoked, more than twice as many said they got their cigarettes from social sources, not from a store or vending machine.</w:t>
      </w:r>
    </w:p>
    <w:p>
      <w:pPr>
        <w:spacing w:before="0" w:after="0" w:line="408" w:lineRule="exact"/>
        <w:ind w:left="0" w:right="0" w:firstLine="576"/>
        <w:jc w:val="left"/>
      </w:pPr>
      <w:r>
        <w:rPr>
          <w:u w:val="single"/>
        </w:rPr>
        <w:t xml:space="preserve">(4) The years between age eighteen and age twenty-one are a critical period in which more than a quarter of those using tobacco move from experimentation to daily use. The legislature recognizes academic research projecting that raising the legal smoking age to twenty-one could cut the youth smoking rate in half within seven years.</w:t>
      </w:r>
    </w:p>
    <w:p>
      <w:pPr>
        <w:spacing w:before="0" w:after="0" w:line="408" w:lineRule="exact"/>
        <w:ind w:left="0" w:right="0" w:firstLine="576"/>
        <w:jc w:val="left"/>
      </w:pPr>
      <w:r>
        <w:rPr>
          <w:u w:val="single"/>
        </w:rPr>
        <w:t xml:space="preserve">(5) The legislature finds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six hundred twenty-five dollars per year.</w:t>
      </w:r>
    </w:p>
    <w:p>
      <w:pPr>
        <w:spacing w:before="0" w:after="0" w:line="408" w:lineRule="exact"/>
        <w:ind w:left="0" w:right="0" w:firstLine="576"/>
        <w:jc w:val="left"/>
      </w:pPr>
      <w:r>
        <w:rPr>
          <w:u w:val="single"/>
        </w:rPr>
        <w:t xml:space="preserve">(6)</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w:t>
      </w:r>
      <w:r>
        <w:t>((</w:t>
      </w:r>
      <w:r>
        <w:rPr>
          <w:strike/>
        </w:rPr>
        <w:t xml:space="preserve">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control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means 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w:t>
      </w:r>
      <w:r>
        <w:t>((</w:t>
      </w:r>
      <w:r>
        <w:rPr>
          <w:strike/>
        </w:rPr>
        <w:t xml:space="preserve">eighteen</w:t>
      </w:r>
      <w:r>
        <w:t>))</w:t>
      </w:r>
      <w:r>
        <w:rPr/>
        <w:t xml:space="preserve"> </w:t>
      </w:r>
      <w:r>
        <w:rPr>
          <w:u w:val="single"/>
        </w:rPr>
        <w:t xml:space="preserve">twenty-one</w:t>
      </w:r>
      <w:r>
        <w:rPr/>
        <w:t xml:space="preserve">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w:t>
      </w:r>
      <w:r>
        <w:rPr>
          <w:u w:val="single"/>
        </w:rPr>
        <w:t xml:space="preserve">or a person at least eighteen years of age, but less than twenty-one years of age</w:t>
      </w:r>
      <w:r>
        <w:rPr/>
        <w:t xml:space="preserve"> is participating in a controlled purchase as part of a liquor control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liquor control board shall, in addition to the board's other powers and authorities, have the authority to enforce the provisions of this chapter and RCW 26.28.080</w:t>
      </w:r>
      <w:r>
        <w:t>((</w:t>
      </w:r>
      <w:r>
        <w:rPr>
          <w:strike/>
        </w:rPr>
        <w:t xml:space="preserve">(4)</w:t>
      </w:r>
      <w:r>
        <w:t>))</w:t>
      </w:r>
      <w:r>
        <w:rPr/>
        <w:t xml:space="preserve"> and 82.24.500. The liquor control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liquor control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liquor control board who has reasonable grounds to believe a person observed by the officer purchasing, attempting to purchase, or in possession of tobacco products is under the age of </w:t>
      </w:r>
      <w:r>
        <w:t>((</w:t>
      </w:r>
      <w:r>
        <w:rPr>
          <w:strike/>
        </w:rPr>
        <w:t xml:space="preserve">eighteen</w:t>
      </w:r>
      <w:r>
        <w:t>))</w:t>
      </w:r>
      <w:r>
        <w:rPr/>
        <w:t xml:space="preserve"> </w:t>
      </w:r>
      <w:r>
        <w:rPr>
          <w:u w:val="single"/>
        </w:rPr>
        <w:t xml:space="preserve">twenty-one</w:t>
      </w:r>
      <w:r>
        <w:rPr/>
        <w:t xml:space="preserve"> years of age, may detain </w:t>
      </w:r>
      <w:r>
        <w:t>((</w:t>
      </w:r>
      <w:r>
        <w:rPr>
          <w:strike/>
        </w:rPr>
        <w:t xml:space="preserve">such</w:t>
      </w:r>
      <w:r>
        <w:t>))</w:t>
      </w:r>
      <w:r>
        <w:rPr/>
        <w:t xml:space="preserve"> </w:t>
      </w:r>
      <w:r>
        <w:rPr>
          <w:u w:val="single"/>
        </w:rPr>
        <w:t xml:space="preserve">a</w:t>
      </w:r>
      <w:r>
        <w:rPr/>
        <w:t xml:space="preserve"> person for a reasonable period of time and in such a reasonable manner as is necessary to determine the person's true identity and date of birth. Further, tobacco products possessed by persons under the age of </w:t>
      </w:r>
      <w:r>
        <w:t>((</w:t>
      </w:r>
      <w:r>
        <w:rPr>
          <w:strike/>
        </w:rPr>
        <w:t xml:space="preserve">eighteen</w:t>
      </w:r>
      <w:r>
        <w:t>))</w:t>
      </w:r>
      <w:r>
        <w:rPr/>
        <w:t xml:space="preserve"> </w:t>
      </w:r>
      <w:r>
        <w:rPr>
          <w:u w:val="single"/>
        </w:rPr>
        <w:t xml:space="preserve">twenty-one</w:t>
      </w:r>
      <w:r>
        <w:rPr/>
        <w:t xml:space="preserve"> years of age are considered contraband and may be seized by a peace officer or enforcement officer of the liquor control board.</w:t>
      </w:r>
    </w:p>
    <w:p>
      <w:pPr>
        <w:spacing w:before="0" w:after="0" w:line="408" w:lineRule="exact"/>
        <w:ind w:left="0" w:right="0" w:firstLine="576"/>
        <w:jc w:val="left"/>
      </w:pPr>
      <w:r>
        <w:rPr/>
        <w:t xml:space="preserve">(4) The liquor control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prevention account is created in the state treasury. All fees collected pursuant to RCW 82.24.520 and 82.24.530 and funds collected by the liquor control board from the imposition of monetary penalties and samplers' fees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prevention account to the department of health shall be used by the department of health for implementation of this chapter, including collection and reporting of data regarding enforcement and the extent to which access to tobacco products by youth has been reduced. </w:t>
      </w:r>
    </w:p>
    <w:p>
      <w:pPr>
        <w:spacing w:before="0" w:after="0" w:line="408" w:lineRule="exact"/>
        <w:ind w:left="0" w:right="0" w:firstLine="576"/>
        <w:jc w:val="left"/>
      </w:pPr>
      <w:r>
        <w:rPr/>
        <w:t xml:space="preserve">(3) The department of health shall enter into interagency agreements with the liquor control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control board regarding its enforcement activities.</w:t>
      </w:r>
    </w:p>
    <w:p>
      <w:pPr>
        <w:spacing w:before="0" w:after="0" w:line="408" w:lineRule="exact"/>
        <w:ind w:left="0" w:right="0" w:firstLine="576"/>
        <w:jc w:val="left"/>
      </w:pPr>
      <w:r>
        <w:rPr/>
        <w:t xml:space="preserve">(4) The department of health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intervention strategies to prevent and reduce tobacco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1573b4044e740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517405ea846da" /><Relationship Type="http://schemas.openxmlformats.org/officeDocument/2006/relationships/footer" Target="/word/footer.xml" Id="Rd1573b4044e74088" /></Relationships>
</file>