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e676469014ca3" /></Relationships>
</file>

<file path=word/document.xml><?xml version="1.0" encoding="utf-8"?>
<w:document xmlns:w="http://schemas.openxmlformats.org/wordprocessingml/2006/main">
  <w:body>
    <w:p>
      <w:r>
        <w:t>H-1815.3</w:t>
      </w:r>
    </w:p>
    <w:p>
      <w:pPr>
        <w:jc w:val="center"/>
      </w:pPr>
      <w:r>
        <w:t>_______________________________________________</w:t>
      </w:r>
    </w:p>
    <w:p/>
    <w:p>
      <w:pPr>
        <w:jc w:val="center"/>
      </w:pPr>
      <w:r>
        <w:rPr>
          <w:b/>
        </w:rPr>
        <w:t>SUBSTITUTE HOUSE BILL 1472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Peterson, Goodman, McBride, Springer, Fey, Farrell, Hudgins, Kagi, Walkinshaw, Gregerson, S. Hunt, Jinkins, Tharinger, and Pollet; by request of Governor Inslee)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chemical action plans to require safer chemicals in Washington; amending RCW 43.21B.110 and 43.21B.110; adding a new section to chapter 39.26 RCW; adding new sections to chapter 43.131 RCW; adding a new chapter to Title 70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Biomonitoring studies reveal adults, children, and even fetuses carry a body burden of toxic chemicals. These include chemicals linked to cancer, brain and nervous system damage, birth defects, developmental delays, and reproductive harm.</w:t>
      </w:r>
    </w:p>
    <w:p>
      <w:pPr>
        <w:spacing w:before="0" w:after="0" w:line="408" w:lineRule="exact"/>
        <w:ind w:left="0" w:right="0" w:firstLine="576"/>
        <w:jc w:val="left"/>
      </w:pPr>
      <w:r>
        <w:rPr/>
        <w:t xml:space="preserve">(2) A growing body of scientific evidence demonstrates that these toxic chemical exposures are taking a toll on public health and playing a role in the incidence and prevalence of many diseases and disorders, including learning and behavioral problems, asthma, reproductive problems, birth defects, obesity, and cancer.</w:t>
      </w:r>
    </w:p>
    <w:p>
      <w:pPr>
        <w:spacing w:before="0" w:after="0" w:line="408" w:lineRule="exact"/>
        <w:ind w:left="0" w:right="0" w:firstLine="576"/>
        <w:jc w:val="left"/>
      </w:pPr>
      <w:r>
        <w:rPr/>
        <w:t xml:space="preserve">(3) An emerging concern is the uncontrolled release of chemical pollutants that come from the diffuse, largely unregulated source of products containing those chemicals. Many chemicals of concern are persistent and therefore remain in the environment for decades.</w:t>
      </w:r>
    </w:p>
    <w:p>
      <w:pPr>
        <w:spacing w:before="0" w:after="0" w:line="408" w:lineRule="exact"/>
        <w:ind w:left="0" w:right="0" w:firstLine="576"/>
        <w:jc w:val="left"/>
      </w:pPr>
      <w:r>
        <w:rPr/>
        <w:t xml:space="preserve">(4) It is the policy of the state to protect public health and the environment by eliminating or reducing the exposure of its residents to toxic chemicals of concern, especially children and other sensitive or high exposure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potential chemical and nonchemical alternatives currently in existence that can be used to replace the use of a chemical. The objective of an alternatives assessment is to select less toxic chemicals or nonchemical alternatives to replace the use of a chemical in a product and to avoid the unintended consequence of switching to a substitute that presents an equivalent or greater concern. An alternatives assessment follows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"Chemical hazard assessment" means an evaluation of the hazards posed by the chemical of concern in a product or a manufacturing process. Chemical hazard assessments follow the guidelines issued by the interstate chemicals clearinghouse, national academy of sciences, or equivalent methodology.</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 or the director's designee.</w:t>
      </w:r>
    </w:p>
    <w:p>
      <w:pPr>
        <w:spacing w:before="0" w:after="0" w:line="408" w:lineRule="exact"/>
        <w:ind w:left="0" w:right="0" w:firstLine="576"/>
        <w:jc w:val="left"/>
      </w:pPr>
      <w:r>
        <w:rPr/>
        <w:t xml:space="preserve">(8)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(9)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(10) "Product component" means a uniquely identifiable material or coating that is included as a part of a finished product.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(13) "Unsuitable alternative" means an alternative identified through the alternatives assessment process that is not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four chemicals for the development of chemical action plans as specified in section 5 of this act from the following:</w:t>
      </w:r>
    </w:p>
    <w:p>
      <w:pPr>
        <w:spacing w:before="0" w:after="0" w:line="408" w:lineRule="exact"/>
        <w:ind w:left="0" w:right="0" w:firstLine="576"/>
        <w:jc w:val="left"/>
      </w:pPr>
      <w:r>
        <w:rPr/>
        <w:t xml:space="preserve">(a) Chemicals identified by the United States environmental protection agency in section 304(a)(1) of the clean water act (water quality criteria for human health), that impact Washington state clean water bodies as identified under section 303(d) of the clean water act; or</w:t>
      </w:r>
    </w:p>
    <w:p>
      <w:pPr>
        <w:spacing w:before="0" w:after="0" w:line="408" w:lineRule="exact"/>
        <w:ind w:left="0" w:right="0" w:firstLine="576"/>
        <w:jc w:val="left"/>
      </w:pPr>
      <w:r>
        <w:rPr/>
        <w:t xml:space="preserve">(b) Chemicals that meet the criteria of a high priority chemical as defined in RCW 70.240.010 as applied to humans, plants, or wildlife, and either:</w:t>
      </w:r>
    </w:p>
    <w:p>
      <w:pPr>
        <w:spacing w:before="0" w:after="0" w:line="408" w:lineRule="exact"/>
        <w:ind w:left="0" w:right="0" w:firstLine="576"/>
        <w:jc w:val="left"/>
      </w:pPr>
      <w:r>
        <w:rPr/>
        <w:t xml:space="preserve">(i) Meet the criteria for a high priority chemical of high concern for children as described in RCW 70.240.030(1) (a) through (c); or</w:t>
      </w:r>
    </w:p>
    <w:p>
      <w:pPr>
        <w:spacing w:before="0" w:after="0" w:line="408" w:lineRule="exact"/>
        <w:ind w:left="0" w:right="0" w:firstLine="576"/>
        <w:jc w:val="left"/>
      </w:pPr>
      <w:r>
        <w:rPr/>
        <w:t xml:space="preserve">(ii) Have been shown through environmental monitoring studies to be present in fish, wildlife, air, water, soil, or sediment.</w:t>
      </w:r>
    </w:p>
    <w:p>
      <w:pPr>
        <w:spacing w:before="0" w:after="0" w:line="408" w:lineRule="exact"/>
        <w:ind w:left="0" w:right="0" w:firstLine="576"/>
        <w:jc w:val="left"/>
      </w:pPr>
      <w:r>
        <w:rPr/>
        <w:t xml:space="preserve">(2) The department may conduct environmental monitoring or request the department of health to conduct biomonitoring of a chemical to verify the chemical is present in the state's environment or population or to better understand environmental or human exposures in the state.</w:t>
      </w:r>
    </w:p>
    <w:p>
      <w:pPr>
        <w:spacing w:before="0" w:after="0" w:line="408" w:lineRule="exact"/>
        <w:ind w:left="0" w:right="0" w:firstLine="576"/>
        <w:jc w:val="left"/>
      </w:pPr>
      <w:r>
        <w:rPr/>
        <w:t xml:space="preserve">(3) When selecting chemicals for the development of chemical action plans, the director shall notify the public of the selection, the basis for the selection, and a draft schedule. The notice must be published in the Washington State Register. The department shall provide the public with an opportunity for review and comment before finalizing the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information from manufacturers of products that contain a chemical selected for a chemical action plan under section 3 of this act. Prior to requesting information from a manufacturer under this subsection, the department must consult with the chemical safety committee established in section 6 of this act, as well as with a chemical action plan external advisory committee, if one has been formed yet, to evaluate the particular chemical that is the subject of the information request. The department must make reasonable requests of manufacturers that are limited in their scope and frequency and that are focused on:</w:t>
      </w:r>
    </w:p>
    <w:p>
      <w:pPr>
        <w:spacing w:before="0" w:after="0" w:line="408" w:lineRule="exact"/>
        <w:ind w:left="0" w:right="0" w:firstLine="576"/>
        <w:jc w:val="left"/>
      </w:pPr>
      <w:r>
        <w:rPr/>
        <w:t xml:space="preserve">(a) The most common and prevalent uses of the chemicals or products containing the chemicals,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a chemical; and</w:t>
      </w:r>
    </w:p>
    <w:p>
      <w:pPr>
        <w:spacing w:before="0" w:after="0" w:line="408" w:lineRule="exact"/>
        <w:ind w:left="0" w:right="0" w:firstLine="576"/>
        <w:jc w:val="left"/>
      </w:pPr>
      <w:r>
        <w:rPr/>
        <w:t xml:space="preserve">(c) Chemical uses or products that the department has reason to believe are likely to be responsible for or associated with a significant portion of releases into the environment or public health exposures.</w:t>
      </w:r>
    </w:p>
    <w:p>
      <w:pPr>
        <w:spacing w:before="0" w:after="0" w:line="408" w:lineRule="exact"/>
        <w:ind w:left="0" w:right="0" w:firstLine="576"/>
        <w:jc w:val="left"/>
      </w:pPr>
      <w:r>
        <w:rPr/>
        <w:t xml:space="preserve">(2) Within six months of a request by the department of ecology,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(f) An estimate of the number of products containing the chemical that the manufacturer sells in and into Washington each year;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national data. The submission must include the information in subsection (2)(a) of this section for each manufacturer. However, the information required by subsection (2)(b) through (g) of this section is not required to be provided in a manner that identifies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(5) Multiple businesses, or a business association, may collaborate and submit a single submission on a chemical found in similar products.</w:t>
      </w:r>
    </w:p>
    <w:p>
      <w:pPr>
        <w:spacing w:before="0" w:after="0" w:line="408" w:lineRule="exact"/>
        <w:ind w:left="0" w:right="0" w:firstLine="576"/>
        <w:jc w:val="left"/>
      </w:pPr>
      <w:r>
        <w:rPr/>
        <w:t xml:space="preserve">(6)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(7) The department may, by order, require a manufacturer subject to the reporting requirement in subsection (2) of this section to provide additional information that is relevant to the development of a chemical action plan under section 5 of this act. An order by the department must also meet the reasonableness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advisory committee meetings must be open to the public. The department must invite representatives from, at minimum, the following organizations and entities to serve as external advisory committee members: Large and small business sectors; a representative of the largest business organization in the state;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 chemical action plan must include the following types of information, evaluations, and recommendations:</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the available information on the production, unintentional production, uses, and disposal of the chemical;</w:t>
      </w:r>
    </w:p>
    <w:p>
      <w:pPr>
        <w:spacing w:before="0" w:after="0" w:line="408" w:lineRule="exact"/>
        <w:ind w:left="0" w:right="0" w:firstLine="576"/>
        <w:jc w:val="left"/>
      </w:pPr>
      <w:r>
        <w:rPr/>
        <w:t xml:space="preserve">(c) Information on the potential impacts on human health and the environment associated with the use and release of the chemical; and</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(3)(a) A chemical action plan must identify actions needed to eliminate or reduce threats to human health and the environment and include recommendations for managing, reducing, and phasing out the different uses and releases of the chemical to minimize exposure.</w:t>
      </w:r>
    </w:p>
    <w:p>
      <w:pPr>
        <w:spacing w:before="0" w:after="0" w:line="408" w:lineRule="exact"/>
        <w:ind w:left="0" w:right="0" w:firstLine="576"/>
        <w:jc w:val="left"/>
      </w:pPr>
      <w:r>
        <w:rPr/>
        <w:t xml:space="preserve">(b) Recommendations must be based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permanent chemical safety committee is established in the office of the governor to fulfill the duties outlined in this chapter. The chemical safety committee must be chaired by the director of the department or the director's designee, who shall be a nonvoting member. The voting members of the chemical safety committee are comprised of:</w:t>
      </w:r>
    </w:p>
    <w:p>
      <w:pPr>
        <w:spacing w:before="0" w:after="0" w:line="408" w:lineRule="exact"/>
        <w:ind w:left="0" w:right="0" w:firstLine="576"/>
        <w:jc w:val="left"/>
      </w:pPr>
      <w:r>
        <w:rPr/>
        <w:t xml:space="preserve">(a) One individual designated to represent each major caucus of the house of representatives, to be appointed by the speaker of the house of representatives;</w:t>
      </w:r>
    </w:p>
    <w:p>
      <w:pPr>
        <w:spacing w:before="0" w:after="0" w:line="408" w:lineRule="exact"/>
        <w:ind w:left="0" w:right="0" w:firstLine="576"/>
        <w:jc w:val="left"/>
      </w:pPr>
      <w:r>
        <w:rPr/>
        <w:t xml:space="preserve">(b) One individual designated to represent each major caucus of the senate, to be appointed by the president of the senate;</w:t>
      </w:r>
    </w:p>
    <w:p>
      <w:pPr>
        <w:spacing w:before="0" w:after="0" w:line="408" w:lineRule="exact"/>
        <w:ind w:left="0" w:right="0" w:firstLine="576"/>
        <w:jc w:val="left"/>
      </w:pPr>
      <w:r>
        <w:rPr/>
        <w:t xml:space="preserve">(c) One representative of the largest business association in the state;</w:t>
      </w:r>
    </w:p>
    <w:p>
      <w:pPr>
        <w:spacing w:before="0" w:after="0" w:line="408" w:lineRule="exact"/>
        <w:ind w:left="0" w:right="0" w:firstLine="576"/>
        <w:jc w:val="left"/>
      </w:pPr>
      <w:r>
        <w:rPr/>
        <w:t xml:space="preserve">(d) One representative of a manufacturing business in the state;</w:t>
      </w:r>
    </w:p>
    <w:p>
      <w:pPr>
        <w:spacing w:before="0" w:after="0" w:line="408" w:lineRule="exact"/>
        <w:ind w:left="0" w:right="0" w:firstLine="576"/>
        <w:jc w:val="left"/>
      </w:pPr>
      <w:r>
        <w:rPr/>
        <w:t xml:space="preserve">(e) One representative of a city or county government that operates a municipal wastewater treatment plant or an organization that represents multiple city or county governments;</w:t>
      </w:r>
    </w:p>
    <w:p>
      <w:pPr>
        <w:spacing w:before="0" w:after="0" w:line="408" w:lineRule="exact"/>
        <w:ind w:left="0" w:right="0" w:firstLine="576"/>
        <w:jc w:val="left"/>
      </w:pPr>
      <w:r>
        <w:rPr/>
        <w:t xml:space="preserve">(f) One representative from an environmental or public health organization with a mission related to toxicology;</w:t>
      </w:r>
    </w:p>
    <w:p>
      <w:pPr>
        <w:spacing w:before="0" w:after="0" w:line="408" w:lineRule="exact"/>
        <w:ind w:left="0" w:right="0" w:firstLine="576"/>
        <w:jc w:val="left"/>
      </w:pPr>
      <w:r>
        <w:rPr/>
        <w:t xml:space="preserve">(g) One representative of academia with expertise in economics or business supply chain logistics and management;</w:t>
      </w:r>
    </w:p>
    <w:p>
      <w:pPr>
        <w:spacing w:before="0" w:after="0" w:line="408" w:lineRule="exact"/>
        <w:ind w:left="0" w:right="0" w:firstLine="576"/>
        <w:jc w:val="left"/>
      </w:pPr>
      <w:r>
        <w:rPr/>
        <w:t xml:space="preserve">(h) One representative of academia with expertise in chemistry or chemical engineering;</w:t>
      </w:r>
    </w:p>
    <w:p>
      <w:pPr>
        <w:spacing w:before="0" w:after="0" w:line="408" w:lineRule="exact"/>
        <w:ind w:left="0" w:right="0" w:firstLine="576"/>
        <w:jc w:val="left"/>
      </w:pPr>
      <w:r>
        <w:rPr/>
        <w:t xml:space="preserve">(i) One representative of academia with expertise in environmental science or a related field;</w:t>
      </w:r>
    </w:p>
    <w:p>
      <w:pPr>
        <w:spacing w:before="0" w:after="0" w:line="408" w:lineRule="exact"/>
        <w:ind w:left="0" w:right="0" w:firstLine="576"/>
        <w:jc w:val="left"/>
      </w:pPr>
      <w:r>
        <w:rPr/>
        <w:t xml:space="preserve">(j) One representative of academia with expertise in toxicology or a public health field; and</w:t>
      </w:r>
    </w:p>
    <w:p>
      <w:pPr>
        <w:spacing w:before="0" w:after="0" w:line="408" w:lineRule="exact"/>
        <w:ind w:left="0" w:right="0" w:firstLine="576"/>
        <w:jc w:val="left"/>
      </w:pPr>
      <w:r>
        <w:rPr/>
        <w:t xml:space="preserve">(k) The director of the department of health or the director's designee.</w:t>
      </w:r>
    </w:p>
    <w:p>
      <w:pPr>
        <w:spacing w:before="0" w:after="0" w:line="408" w:lineRule="exact"/>
        <w:ind w:left="0" w:right="0" w:firstLine="576"/>
        <w:jc w:val="left"/>
      </w:pPr>
      <w:r>
        <w:rPr/>
        <w:t xml:space="preserve">(2)(a) The individuals designated in subsection (1)(a) and (b) of this section may be elected members of the house of representatives or senate or may be other individuals designated by the speaker of the house of representatives or the president of the senate. With the exception of the individuals in subsection (1)(a) and (b) of this section, all other members of the committee must be appointed by the governor.</w:t>
      </w:r>
    </w:p>
    <w:p>
      <w:pPr>
        <w:spacing w:before="0" w:after="0" w:line="408" w:lineRule="exact"/>
        <w:ind w:left="0" w:right="0" w:firstLine="576"/>
        <w:jc w:val="left"/>
      </w:pPr>
      <w:r>
        <w:rPr/>
        <w:t xml:space="preserve">(b) The chemical safety committee shall adopt bylaws and operating procedures that may be modified from time to time by the committee.</w:t>
      </w:r>
    </w:p>
    <w:p>
      <w:pPr>
        <w:spacing w:before="0" w:after="0" w:line="408" w:lineRule="exact"/>
        <w:ind w:left="0" w:right="0" w:firstLine="576"/>
        <w:jc w:val="left"/>
      </w:pPr>
      <w:r>
        <w:rPr/>
        <w:t xml:space="preserve">(c) The members of the chemical safety committee are appointed to four-year terms and must be appointed by April 2016. No member of the chemical safety committee may have a financial interest in the outcome of business before the committee. A committee member with a financial interest in the outcome of a particular item of business in front of the committee may temporarily be recused from the committee for all committee activities related to that item of business, in which case a temporary replacement that meets the same criteria as in subsection (1) of this section must be appointed by the governor. All other committee vacancies must be filled for the remainder of the term by an appointment by the governor that meets the criteria in subsection (1) of this section, or by the speaker of the house of representatives for the appointees under subsection (1)(a) of this section or the president of the senate for the appointees under subsection (1)(b) of this section.</w:t>
      </w:r>
    </w:p>
    <w:p>
      <w:pPr>
        <w:spacing w:before="0" w:after="0" w:line="408" w:lineRule="exact"/>
        <w:ind w:left="0" w:right="0" w:firstLine="576"/>
        <w:jc w:val="left"/>
      </w:pPr>
      <w:r>
        <w:rPr/>
        <w:t xml:space="preserve">(d) A chemical safety committee member is eligible to serve on a chemical action plan external advisory committee. Chemical safety committee members are encouraged to closely follow the development of each chemical action plan under this chapter and to attend meetings of chemical action plan external advisory committees.</w:t>
      </w:r>
    </w:p>
    <w:p>
      <w:pPr>
        <w:spacing w:before="0" w:after="0" w:line="408" w:lineRule="exact"/>
        <w:ind w:left="0" w:right="0" w:firstLine="576"/>
        <w:jc w:val="left"/>
      </w:pPr>
      <w:r>
        <w:rPr/>
        <w:t xml:space="preserve">(3)(a) The chemical safety committee shall meet in June of each year beginning June 2016, and up to three other times per year as needed to consult on information requests, to evaluate the need for alternative assessments, and to evaluate completed alternatives assessments.</w:t>
      </w:r>
    </w:p>
    <w:p>
      <w:pPr>
        <w:spacing w:before="0" w:after="0" w:line="408" w:lineRule="exact"/>
        <w:ind w:left="0" w:right="0" w:firstLine="576"/>
        <w:jc w:val="left"/>
      </w:pPr>
      <w:r>
        <w:rPr/>
        <w:t xml:space="preserve">(b) Members of the chemical safety committee must be reimbursed for travel expenses as provided in RCW 43.03.050 and 43.03.060.</w:t>
      </w:r>
    </w:p>
    <w:p>
      <w:pPr>
        <w:spacing w:before="0" w:after="0" w:line="408" w:lineRule="exact"/>
        <w:ind w:left="0" w:right="0" w:firstLine="576"/>
        <w:jc w:val="left"/>
      </w:pPr>
      <w:r>
        <w:rPr/>
        <w:t xml:space="preserve">(c) Meetings of the chemical safety committee must be facilitated by the William D. Ruckelshaus Center or a facilitator of the committee's choice.</w:t>
      </w:r>
    </w:p>
    <w:p>
      <w:pPr>
        <w:spacing w:before="0" w:after="0" w:line="408" w:lineRule="exact"/>
        <w:ind w:left="0" w:right="0" w:firstLine="576"/>
        <w:jc w:val="left"/>
      </w:pPr>
      <w:r>
        <w:rPr/>
        <w:t xml:space="preserve">(4)(a) Upon the completion of each chemical action plan, the department shall report the findings to the chemical safety committee.</w:t>
      </w:r>
    </w:p>
    <w:p>
      <w:pPr>
        <w:spacing w:before="0" w:after="0" w:line="408" w:lineRule="exact"/>
        <w:ind w:left="0" w:right="0" w:firstLine="576"/>
        <w:jc w:val="left"/>
      </w:pPr>
      <w:r>
        <w:rPr/>
        <w:t xml:space="preserve">(b) If a chemical action plan recommends an alternatives assessment, upon an affirmative vote by eight of the thirteen members of the chemical safety committee, the chemical safety committee must recommend to the department that a manufacturer or manufacturers conduct an alternatives assessment as specified in section 7 of this act. The scope of an alternatives assessment recommended by the chemical safety committee must be:</w:t>
      </w:r>
    </w:p>
    <w:p>
      <w:pPr>
        <w:spacing w:before="0" w:after="0" w:line="408" w:lineRule="exact"/>
        <w:ind w:left="0" w:right="0" w:firstLine="576"/>
        <w:jc w:val="left"/>
      </w:pPr>
      <w:r>
        <w:rPr/>
        <w:t xml:space="preserve">(i) A single type of use of a chemical in a specific type of manufacturing process; or</w:t>
      </w:r>
    </w:p>
    <w:p>
      <w:pPr>
        <w:spacing w:before="0" w:after="0" w:line="408" w:lineRule="exact"/>
        <w:ind w:left="0" w:right="0" w:firstLine="576"/>
        <w:jc w:val="left"/>
      </w:pPr>
      <w:r>
        <w:rPr/>
        <w:t xml:space="preserve">(ii) The inclusion of a chemical in a specific type of product.</w:t>
      </w:r>
    </w:p>
    <w:p>
      <w:pPr>
        <w:spacing w:before="0" w:after="0" w:line="408" w:lineRule="exact"/>
        <w:ind w:left="0" w:right="0" w:firstLine="576"/>
        <w:jc w:val="left"/>
      </w:pPr>
      <w:r>
        <w:rPr/>
        <w:t xml:space="preserve">(c) The chemical safety committee may not recommend that the department require manufacturers to perform an alternatives assessment for greater types of uses or products or by a greater number of manufacturers than is necessary to address significant sources of environmental or public health exposures to the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a recommendation by the chemical safety committee pursuant to section 6 of this act, the department is authorized to require manufacturers, by order, to conduct alternatives assessments, as detailed in this section.</w:t>
      </w:r>
    </w:p>
    <w:p>
      <w:pPr>
        <w:spacing w:before="0" w:after="0" w:line="408" w:lineRule="exact"/>
        <w:ind w:left="0" w:right="0" w:firstLine="576"/>
        <w:jc w:val="left"/>
      </w:pPr>
      <w:r>
        <w:rPr/>
        <w:t xml:space="preserve">(2)(a) If ordered by the department, a manufacturer of a product that contains a chemical for which a chemical action plan has been completed under section 5 of this act or under chapter 173-333 WAC must submit an alternatives assessment to the department for each use of the chemical specified by the department.</w:t>
      </w:r>
    </w:p>
    <w:p>
      <w:pPr>
        <w:spacing w:before="0" w:after="0" w:line="408" w:lineRule="exact"/>
        <w:ind w:left="0" w:right="0" w:firstLine="576"/>
        <w:jc w:val="left"/>
      </w:pPr>
      <w:r>
        <w:rPr/>
        <w:t xml:space="preserve">(b) The manufacturer must submit the alternatives assessment to the department and the chemical safety committee established in section 6 of this act within one year of receipt of the department's order. The department, in consultation with the chemical safety committee, may grant an extension on a case-by-case basis for good cause if the manufacturer shows that additional time is necessary to complete an alternatives assessment or would substantially improve the quality of the alternatives assessment.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(c) In lieu of an alternatives assessment, a manufacturer may submit a certificate of compliance, as described in section 9(3) of this act, if:</w:t>
      </w:r>
    </w:p>
    <w:p>
      <w:pPr>
        <w:spacing w:before="0" w:after="0" w:line="408" w:lineRule="exact"/>
        <w:ind w:left="0" w:right="0" w:firstLine="576"/>
        <w:jc w:val="left"/>
      </w:pPr>
      <w:r>
        <w:rPr/>
        <w:t xml:space="preserve">(i) The manufacturer has ceased using the chemical for which it would be required to do an alternatives assessment; or</w:t>
      </w:r>
    </w:p>
    <w:p>
      <w:pPr>
        <w:spacing w:before="0" w:after="0" w:line="408" w:lineRule="exact"/>
        <w:ind w:left="0" w:right="0" w:firstLine="576"/>
        <w:jc w:val="left"/>
      </w:pPr>
      <w:r>
        <w:rPr/>
        <w:t xml:space="preserve">(ii) The manufacturer can demonstrate its plans to phase out the use of the chemical within two years of the department's order.</w:t>
      </w:r>
    </w:p>
    <w:p>
      <w:pPr>
        <w:spacing w:before="0" w:after="0" w:line="408" w:lineRule="exact"/>
        <w:ind w:left="0" w:right="0" w:firstLine="576"/>
        <w:jc w:val="left"/>
      </w:pPr>
      <w:r>
        <w:rPr/>
        <w:t xml:space="preserve">(3) If the chemical safety committee determines that the alternatives assessment does not meet the definition or objectives of an alternatives assessment, the department may contract with an independent scientific organization to conduct an independent alternatives assessment. Any alternatives assessment conducted by the independent contractor must include a process to involve interested parties.</w:t>
      </w:r>
    </w:p>
    <w:p>
      <w:pPr>
        <w:spacing w:before="0" w:after="0" w:line="408" w:lineRule="exact"/>
        <w:ind w:left="0" w:right="0" w:firstLine="576"/>
        <w:jc w:val="left"/>
      </w:pPr>
      <w:r>
        <w:rPr/>
        <w:t xml:space="preserve">(4) The chemical safety committee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shall prepare a summary report of all reviewed alternatives assessments and other relevant information assembled under section 7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(b) In order for the department to determine that a safer alternative exists, nine of the thirteen members of the chemical safety committee must make an affirmative vote to find that a safer alternative has been identified for use of a chemical in a product or process. The chemical safety committee may seek the input of the department and the department of health prior to voting to determine whether a safer alternative exists. The chemical safety committee may also contract out for independent scientific, economic, or other technical analysis of a submitted alternatives assessment in order to inform the committee's evaluation. In making its determination, the chemical safety committee shall evaluate whether the alternatives assessment submitted by manufacturers:</w:t>
      </w:r>
    </w:p>
    <w:p>
      <w:pPr>
        <w:spacing w:before="0" w:after="0" w:line="408" w:lineRule="exact"/>
        <w:ind w:left="0" w:right="0" w:firstLine="576"/>
        <w:jc w:val="left"/>
      </w:pPr>
      <w:r>
        <w:rPr/>
        <w:t xml:space="preserve">(i) Follows the guidelines on alternatives assessment issued by the interstate chemicals clearinghouse, the national academy of sciences, or equivalent methodology;</w:t>
      </w:r>
    </w:p>
    <w:p>
      <w:pPr>
        <w:spacing w:before="0" w:after="0" w:line="408" w:lineRule="exact"/>
        <w:ind w:left="0" w:right="0" w:firstLine="576"/>
        <w:jc w:val="left"/>
      </w:pPr>
      <w:r>
        <w:rPr/>
        <w:t xml:space="preserve">(ii) Identifies safer alternatives as defined in this subsection (1); and</w:t>
      </w:r>
    </w:p>
    <w:p>
      <w:pPr>
        <w:spacing w:before="0" w:after="0" w:line="408" w:lineRule="exact"/>
        <w:ind w:left="0" w:right="0" w:firstLine="576"/>
        <w:jc w:val="left"/>
      </w:pPr>
      <w:r>
        <w:rPr/>
        <w:t xml:space="preserve">(iii) Identifies unsuitable alternatives as defined in this subsection (1).</w:t>
      </w:r>
    </w:p>
    <w:p>
      <w:pPr>
        <w:spacing w:before="0" w:after="0" w:line="408" w:lineRule="exact"/>
        <w:ind w:left="0" w:right="0" w:firstLine="576"/>
        <w:jc w:val="left"/>
      </w:pPr>
      <w:r>
        <w:rPr/>
        <w:t xml:space="preserve">(2) If the department determines that a safer alternative does not exist, then the department and the chemical safety committee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chemical safety committee established in section 6 of this act determines that a safer alternative exists, based on a completed alternatives assessment or equivalent information, the chemical safety committee must recommend that the department prohibit, by rule, specific uses of the chemical, consistent with (b) of this subsection.</w:t>
      </w:r>
    </w:p>
    <w:p>
      <w:pPr>
        <w:spacing w:before="0" w:after="0" w:line="408" w:lineRule="exact"/>
        <w:ind w:left="0" w:right="0" w:firstLine="576"/>
        <w:jc w:val="left"/>
      </w:pPr>
      <w:r>
        <w:rPr/>
        <w:t xml:space="preserve">(b) If the chemical safety committee determines that a safer alternative exists consistent with (a) of this subsection, the department may, by rule, prohibit specific uses of the chemical, or prohibit the sale, offer for sale, or distribution of a specific product or products containing the chemical. Manufacturers may not use a chemical determined by the department, based on the evaluation of the chemical safety committee, to be an unsuitable alternative to replace a chemical restricted under this section.</w:t>
      </w:r>
    </w:p>
    <w:p>
      <w:pPr>
        <w:spacing w:before="0" w:after="0" w:line="408" w:lineRule="exact"/>
        <w:ind w:left="0" w:right="0" w:firstLine="576"/>
        <w:jc w:val="left"/>
      </w:pPr>
      <w:r>
        <w:rPr/>
        <w:t xml:space="preserve">(2) The department shall establish reasonable deadlines for manufacturers to comply with any prohibition adopted under subsection (1) of this section. In setting reasonable deadlines, the department shall consider information such as existing product inventory. No prohibition may take effect sooner than twelve months after rule adoption.</w:t>
      </w:r>
    </w:p>
    <w:p>
      <w:pPr>
        <w:spacing w:before="0" w:after="0" w:line="408" w:lineRule="exact"/>
        <w:ind w:left="0" w:right="0" w:firstLine="576"/>
        <w:jc w:val="left"/>
      </w:pPr>
      <w:r>
        <w:rPr/>
        <w:t xml:space="preserve">(3) Manufacturers of a product that is subject to a chemical content prohibition shall make available within ninety days of a request by the department a certificate of compliance stating that the product meets the requirements of the prohibition adopted under subsection (1) of this section. A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(b) How the manufacturer is meeting the function of the prohibited chemical with a safer alternative; and</w:t>
      </w:r>
    </w:p>
    <w:p>
      <w:pPr>
        <w:spacing w:before="0" w:after="0" w:line="408" w:lineRule="exact"/>
        <w:ind w:left="0" w:right="0" w:firstLine="576"/>
        <w:jc w:val="left"/>
      </w:pPr>
      <w:r>
        <w:rPr/>
        <w:t xml:space="preserve">(c) The signature of an authorized official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may grant the request for the information to remain confidential as authorized in RCW 43.21A.160. Records kept confidential by the department may be shared with the chemical safety committee established in section 6 of this act. Under the procedures established under RCW 43.21A.160, the department must keep confidential any records furnished by a manufacturer under this chapter that relate to proprietary manufacturing processes or chemical formulations used in products or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 persistent, bioaccumulative, and toxic chemicals as defined in chapter 173-333 WAC as of the effective date of this section.</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16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16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chemical safety committee established in section 6 of this act and authority of the department of ecology to do the following under the authority of chapter 70.--- RCW (the new chapter created in section 16 of this act) expires June 30, 2025: Require manufacturers to provide information on chemicals and conduct alternatives assessments; prepare summary reports on alternatives assessments; prohibit the use of chemicals and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 and</w:t>
      </w:r>
    </w:p>
    <w:p>
      <w:pPr>
        <w:spacing w:before="0" w:after="0" w:line="408" w:lineRule="exact"/>
        <w:ind w:left="0" w:right="0" w:firstLine="576"/>
        <w:jc w:val="left"/>
      </w:pPr>
      <w:r>
        <w:rPr/>
        <w:t xml:space="preserve">(12)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8ed80e0629b4d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8709b842d466d" /><Relationship Type="http://schemas.openxmlformats.org/officeDocument/2006/relationships/footer" Target="/word/footer.xml" Id="R68ed80e0629b4d7e" /></Relationships>
</file>